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3D43F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left"/>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附件3</w:t>
      </w:r>
      <w:bookmarkStart w:id="0" w:name="_GoBack"/>
      <w:bookmarkEnd w:id="0"/>
    </w:p>
    <w:p w14:paraId="09D877D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eastAsia="仿宋_GB2312"/>
          <w:highlight w:val="none"/>
          <w:lang w:eastAsia="zh-CN"/>
        </w:rPr>
      </w:pPr>
    </w:p>
    <w:p w14:paraId="7D1C523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Style w:val="7"/>
          <w:rFonts w:hint="eastAsia" w:ascii="方正小标宋简体" w:hAnsi="方正小标宋简体" w:eastAsia="方正小标宋简体" w:cs="方正小标宋简体"/>
          <w:b w:val="0"/>
          <w:bCs/>
          <w:sz w:val="44"/>
          <w:szCs w:val="44"/>
          <w:highlight w:val="none"/>
          <w:lang w:val="en-US" w:eastAsia="zh-CN"/>
        </w:rPr>
      </w:pPr>
      <w:r>
        <w:rPr>
          <w:rStyle w:val="7"/>
          <w:rFonts w:hint="eastAsia" w:ascii="方正小标宋简体" w:hAnsi="方正小标宋简体" w:eastAsia="方正小标宋简体" w:cs="方正小标宋简体"/>
          <w:b w:val="0"/>
          <w:bCs/>
          <w:sz w:val="44"/>
          <w:szCs w:val="44"/>
          <w:highlight w:val="none"/>
          <w:lang w:val="en-US" w:eastAsia="zh-CN"/>
        </w:rPr>
        <w:t>赣州市长期护理保险失能等级评估实施细则（试行）（征求意见稿）</w:t>
      </w:r>
    </w:p>
    <w:p w14:paraId="6DF95A9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eastAsia="仿宋_GB2312"/>
          <w:highlight w:val="none"/>
          <w:lang w:eastAsia="zh-CN"/>
        </w:rPr>
      </w:pPr>
    </w:p>
    <w:p w14:paraId="6AD4AAF6">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黑体" w:hAnsi="黑体" w:eastAsia="黑体" w:cs="黑体"/>
          <w:highlight w:val="none"/>
        </w:rPr>
      </w:pPr>
      <w:r>
        <w:rPr>
          <w:rFonts w:hint="eastAsia" w:ascii="黑体" w:hAnsi="黑体" w:eastAsia="黑体" w:cs="黑体"/>
          <w:highlight w:val="none"/>
        </w:rPr>
        <w:t>第一章 总则</w:t>
      </w:r>
    </w:p>
    <w:p w14:paraId="257098B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b/>
          <w:bCs/>
          <w:highlight w:val="none"/>
        </w:rPr>
        <w:t>第一条</w:t>
      </w:r>
      <w:r>
        <w:rPr>
          <w:rFonts w:hint="eastAsia" w:ascii="仿宋_GB2312" w:hAnsi="仿宋_GB2312" w:eastAsia="仿宋_GB2312" w:cs="仿宋_GB2312"/>
          <w:b w:val="0"/>
          <w:bCs w:val="0"/>
          <w:highlight w:val="none"/>
        </w:rPr>
        <w:t xml:space="preserve"> </w:t>
      </w:r>
      <w:r>
        <w:rPr>
          <w:rFonts w:hint="eastAsia" w:ascii="仿宋_GB2312" w:hAnsi="仿宋_GB2312" w:cs="仿宋_GB2312"/>
          <w:b w:val="0"/>
          <w:bCs w:val="0"/>
          <w:highlight w:val="none"/>
          <w:lang w:val="en-US" w:eastAsia="zh-CN"/>
        </w:rPr>
        <w:t xml:space="preserve"> </w:t>
      </w:r>
      <w:r>
        <w:rPr>
          <w:rFonts w:hint="eastAsia" w:ascii="仿宋_GB2312" w:hAnsi="仿宋_GB2312" w:eastAsia="仿宋_GB2312" w:cs="仿宋_GB2312"/>
          <w:b w:val="0"/>
          <w:bCs w:val="0"/>
          <w:highlight w:val="none"/>
        </w:rPr>
        <w:t>为加强我市长期护理保险（以下简称“长护险”）失能等级评估管理，保障参保人合法权益</w:t>
      </w:r>
      <w:r>
        <w:rPr>
          <w:rFonts w:hint="eastAsia" w:ascii="仿宋_GB2312" w:hAnsi="仿宋_GB2312" w:cs="仿宋_GB2312"/>
          <w:b w:val="0"/>
          <w:bCs w:val="0"/>
          <w:highlight w:val="none"/>
          <w:lang w:eastAsia="zh-CN"/>
        </w:rPr>
        <w:t>。</w:t>
      </w:r>
      <w:r>
        <w:rPr>
          <w:rFonts w:hint="eastAsia" w:ascii="仿宋_GB2312" w:hAnsi="仿宋_GB2312" w:eastAsia="仿宋_GB2312" w:cs="仿宋_GB2312"/>
          <w:b w:val="0"/>
          <w:bCs w:val="0"/>
          <w:highlight w:val="none"/>
        </w:rPr>
        <w:t>根据</w:t>
      </w:r>
      <w:r>
        <w:rPr>
          <w:rFonts w:hint="eastAsia" w:ascii="仿宋_GB2312" w:hAnsi="仿宋_GB2312" w:eastAsia="仿宋_GB2312" w:cs="仿宋_GB2312"/>
          <w:b w:val="0"/>
          <w:bCs w:val="0"/>
          <w:highlight w:val="none"/>
          <w:lang w:eastAsia="zh-CN"/>
        </w:rPr>
        <w:t>《国家医保局 财政部关于印发〈长期护理保险失能等级评估管理办法（试行）〉的通知》（医保发〔2023〕29号）、《国家医保局关于印发〈长期护理保险失能等级评估机构定点管理办法（试</w:t>
      </w:r>
      <w:r>
        <w:rPr>
          <w:rFonts w:hint="eastAsia" w:ascii="仿宋_GB2312" w:hAnsi="仿宋_GB2312" w:eastAsia="仿宋_GB2312" w:cs="仿宋_GB2312"/>
          <w:highlight w:val="none"/>
          <w:lang w:eastAsia="zh-CN"/>
        </w:rPr>
        <w:t>行）〉的通知》（医保发〔2024〕13号）等文件规定，结合本市实际，制定</w:t>
      </w:r>
      <w:r>
        <w:rPr>
          <w:rFonts w:hint="eastAsia" w:ascii="仿宋_GB2312" w:hAnsi="仿宋_GB2312" w:eastAsia="仿宋_GB2312" w:cs="仿宋_GB2312"/>
          <w:highlight w:val="none"/>
        </w:rPr>
        <w:t>本</w:t>
      </w:r>
      <w:r>
        <w:rPr>
          <w:rFonts w:hint="eastAsia" w:ascii="仿宋_GB2312" w:hAnsi="仿宋_GB2312" w:eastAsia="仿宋_GB2312" w:cs="仿宋_GB2312"/>
          <w:highlight w:val="none"/>
          <w:lang w:val="en-US" w:eastAsia="zh-CN"/>
        </w:rPr>
        <w:t>实施细则</w:t>
      </w:r>
      <w:r>
        <w:rPr>
          <w:rFonts w:hint="eastAsia" w:ascii="仿宋_GB2312" w:hAnsi="仿宋_GB2312" w:eastAsia="仿宋_GB2312" w:cs="仿宋_GB2312"/>
          <w:highlight w:val="none"/>
        </w:rPr>
        <w:t>。</w:t>
      </w:r>
    </w:p>
    <w:p w14:paraId="10499F8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b/>
          <w:bCs/>
          <w:highlight w:val="none"/>
          <w:lang w:eastAsia="zh-CN"/>
        </w:rPr>
        <w:t>第二条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lang w:eastAsia="zh-CN"/>
        </w:rPr>
        <w:t>本</w:t>
      </w:r>
      <w:r>
        <w:rPr>
          <w:rFonts w:hint="eastAsia" w:ascii="仿宋_GB2312" w:hAnsi="仿宋_GB2312" w:eastAsia="仿宋_GB2312" w:cs="仿宋_GB2312"/>
          <w:highlight w:val="none"/>
          <w:lang w:val="en-US" w:eastAsia="zh-CN"/>
        </w:rPr>
        <w:t>实施细则</w:t>
      </w:r>
      <w:r>
        <w:rPr>
          <w:rFonts w:hint="eastAsia" w:ascii="仿宋_GB2312" w:hAnsi="仿宋_GB2312" w:eastAsia="仿宋_GB2312" w:cs="仿宋_GB2312"/>
          <w:highlight w:val="none"/>
          <w:lang w:eastAsia="zh-CN"/>
        </w:rPr>
        <w:t>适用于</w:t>
      </w:r>
      <w:r>
        <w:rPr>
          <w:rFonts w:hint="eastAsia" w:ascii="仿宋_GB2312" w:hAnsi="仿宋_GB2312" w:eastAsia="仿宋_GB2312" w:cs="仿宋_GB2312"/>
          <w:highlight w:val="none"/>
          <w:lang w:val="en-US" w:eastAsia="zh-CN"/>
        </w:rPr>
        <w:t>赣州市</w:t>
      </w:r>
      <w:r>
        <w:rPr>
          <w:rFonts w:hint="eastAsia" w:ascii="仿宋_GB2312" w:hAnsi="仿宋_GB2312" w:eastAsia="仿宋_GB2312" w:cs="仿宋_GB2312"/>
          <w:highlight w:val="none"/>
          <w:lang w:eastAsia="zh-CN"/>
        </w:rPr>
        <w:t>长期护理保险失能等级评估工作。</w:t>
      </w:r>
    </w:p>
    <w:p w14:paraId="3A7C731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第三条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本实施细则所称失能等级评估，是指依据《长期护理失能等级评估标准（试行）》，依申请对评估对象日常生活活动、认知、感知觉与沟通等方面的能力丧失程度的分级评估。依</w:t>
      </w:r>
      <w:r>
        <w:rPr>
          <w:rFonts w:hint="eastAsia" w:ascii="仿宋_GB2312" w:hAnsi="仿宋_GB2312" w:cs="仿宋_GB2312"/>
          <w:highlight w:val="none"/>
          <w:lang w:val="en-US" w:eastAsia="zh-CN"/>
        </w:rPr>
        <w:t>照</w:t>
      </w:r>
      <w:r>
        <w:rPr>
          <w:rFonts w:hint="eastAsia" w:ascii="仿宋_GB2312" w:hAnsi="仿宋_GB2312" w:eastAsia="仿宋_GB2312" w:cs="仿宋_GB2312"/>
          <w:highlight w:val="none"/>
          <w:lang w:val="en-US" w:eastAsia="zh-CN"/>
        </w:rPr>
        <w:t>本实施细则作出的评估结论是长期护理保险基金支付待遇的必要依据。</w:t>
      </w:r>
    </w:p>
    <w:p w14:paraId="41EFB8D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第四条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失能等级评估管理应遵循公平公开、科学规范、权责明晰、高效便民的原则，不断提升评估管理专业化水平，促进评估行业发展，为参保人提供客观公正的评估服务。</w:t>
      </w:r>
    </w:p>
    <w:p w14:paraId="4FEACC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第五条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rPr>
        <w:t>市医疗保障</w:t>
      </w:r>
      <w:r>
        <w:rPr>
          <w:rFonts w:hint="eastAsia" w:ascii="仿宋_GB2312" w:hAnsi="仿宋_GB2312" w:eastAsia="仿宋_GB2312" w:cs="仿宋_GB2312"/>
          <w:highlight w:val="none"/>
          <w:lang w:val="en-US" w:eastAsia="zh-CN"/>
        </w:rPr>
        <w:t>行政部门商</w:t>
      </w:r>
      <w:r>
        <w:rPr>
          <w:rFonts w:hint="eastAsia" w:ascii="仿宋_GB2312" w:hAnsi="仿宋_GB2312" w:cs="仿宋_GB2312"/>
          <w:highlight w:val="none"/>
          <w:lang w:val="en-US" w:eastAsia="zh-CN"/>
        </w:rPr>
        <w:t>市</w:t>
      </w:r>
      <w:r>
        <w:rPr>
          <w:rFonts w:hint="eastAsia" w:ascii="仿宋_GB2312" w:hAnsi="仿宋_GB2312" w:eastAsia="仿宋_GB2312" w:cs="仿宋_GB2312"/>
          <w:highlight w:val="none"/>
          <w:lang w:val="en-US" w:eastAsia="zh-CN"/>
        </w:rPr>
        <w:t>财政部门制定失能等级评估实施细则，</w:t>
      </w:r>
      <w:r>
        <w:rPr>
          <w:rFonts w:hint="eastAsia" w:ascii="仿宋_GB2312" w:hAnsi="仿宋_GB2312" w:eastAsia="仿宋_GB2312" w:cs="仿宋_GB2312"/>
          <w:highlight w:val="none"/>
        </w:rPr>
        <w:t>市医疗保</w:t>
      </w:r>
      <w:r>
        <w:rPr>
          <w:rFonts w:hint="eastAsia" w:ascii="仿宋_GB2312" w:hAnsi="仿宋_GB2312" w:eastAsia="仿宋_GB2312" w:cs="仿宋_GB2312"/>
          <w:b w:val="0"/>
          <w:bCs w:val="0"/>
          <w:highlight w:val="none"/>
        </w:rPr>
        <w:t>障</w:t>
      </w:r>
      <w:r>
        <w:rPr>
          <w:rFonts w:hint="eastAsia" w:ascii="仿宋_GB2312" w:hAnsi="仿宋_GB2312" w:eastAsia="仿宋_GB2312" w:cs="仿宋_GB2312"/>
          <w:b w:val="0"/>
          <w:bCs w:val="0"/>
          <w:highlight w:val="none"/>
          <w:lang w:val="en-US" w:eastAsia="zh-CN"/>
        </w:rPr>
        <w:t>经办机构</w:t>
      </w:r>
      <w:r>
        <w:rPr>
          <w:rFonts w:hint="eastAsia" w:ascii="仿宋_GB2312" w:hAnsi="仿宋_GB2312" w:eastAsia="仿宋_GB2312" w:cs="仿宋_GB2312"/>
          <w:highlight w:val="none"/>
          <w:lang w:val="en-US" w:eastAsia="zh-CN"/>
        </w:rPr>
        <w:t>依据本实施细则制定经办规程，明确评估操作程序，拟定评估服务协议，指导各</w:t>
      </w:r>
      <w:r>
        <w:rPr>
          <w:rFonts w:hint="eastAsia" w:ascii="仿宋_GB2312" w:hAnsi="仿宋_GB2312" w:eastAsia="仿宋_GB2312" w:cs="仿宋_GB2312"/>
          <w:highlight w:val="none"/>
        </w:rPr>
        <w:t>县（市、区）医疗保障</w:t>
      </w:r>
      <w:r>
        <w:rPr>
          <w:rFonts w:hint="eastAsia" w:ascii="仿宋_GB2312" w:hAnsi="仿宋_GB2312" w:eastAsia="仿宋_GB2312" w:cs="仿宋_GB2312"/>
          <w:highlight w:val="none"/>
          <w:lang w:val="en-US" w:eastAsia="zh-CN"/>
        </w:rPr>
        <w:t>经办机构做好失能等级评估相关经办管理服务等工作。县（市、区）</w:t>
      </w:r>
      <w:r>
        <w:rPr>
          <w:rFonts w:hint="eastAsia" w:ascii="仿宋_GB2312" w:hAnsi="仿宋_GB2312" w:eastAsia="仿宋_GB2312" w:cs="仿宋_GB2312"/>
          <w:highlight w:val="none"/>
        </w:rPr>
        <w:t>医疗保</w:t>
      </w:r>
      <w:r>
        <w:rPr>
          <w:rFonts w:hint="eastAsia" w:ascii="仿宋_GB2312" w:hAnsi="仿宋_GB2312" w:eastAsia="仿宋_GB2312" w:cs="仿宋_GB2312"/>
          <w:b w:val="0"/>
          <w:bCs w:val="0"/>
          <w:highlight w:val="none"/>
        </w:rPr>
        <w:t>障</w:t>
      </w:r>
      <w:r>
        <w:rPr>
          <w:rFonts w:hint="eastAsia" w:ascii="仿宋_GB2312" w:hAnsi="仿宋_GB2312" w:eastAsia="仿宋_GB2312" w:cs="仿宋_GB2312"/>
          <w:highlight w:val="none"/>
          <w:lang w:val="en-US" w:eastAsia="zh-CN"/>
        </w:rPr>
        <w:t>经办机构负责具体管理工作的组织实施</w:t>
      </w:r>
      <w:r>
        <w:rPr>
          <w:rFonts w:hint="eastAsia" w:ascii="仿宋_GB2312" w:hAnsi="仿宋_GB2312" w:cs="仿宋_GB2312"/>
          <w:highlight w:val="none"/>
          <w:lang w:val="en-US" w:eastAsia="zh-CN"/>
        </w:rPr>
        <w:t>。</w:t>
      </w:r>
    </w:p>
    <w:p w14:paraId="4744C94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highlight w:val="none"/>
          <w:lang w:val="en-US" w:eastAsia="zh-CN"/>
        </w:rPr>
      </w:pPr>
    </w:p>
    <w:p w14:paraId="4E943B12">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第二章 定点评估机构</w:t>
      </w:r>
    </w:p>
    <w:p w14:paraId="53F288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 xml:space="preserve">第六条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长期护理保险失能等级评估机构（以下简称“定点评估机构”）实行定点管理。定点评估机构是指纳入赣州市长期护理保险失能等级评估机构定点管理，依照有关规定对长期护理保险参保人开展失能等级评估的机构。定点评估机构准入条件、确定程序、运行管理等内容，参照《赣州市长期护理保险失能等级评估机构定点管理实施细则（试行）》执行。</w:t>
      </w:r>
    </w:p>
    <w:p w14:paraId="647C13B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第七条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rPr>
        <w:t>所在</w:t>
      </w:r>
      <w:r>
        <w:rPr>
          <w:rFonts w:hint="eastAsia" w:ascii="Times New Roman" w:hAnsi="Times New Roman" w:eastAsia="仿宋_GB2312" w:cs="Times New Roman"/>
          <w:color w:val="auto"/>
          <w:kern w:val="0"/>
          <w:sz w:val="32"/>
          <w:szCs w:val="32"/>
          <w:highlight w:val="none"/>
          <w:shd w:val="clear" w:color="auto" w:fill="FFFFFF"/>
          <w:lang w:val="en-US" w:eastAsia="zh-CN" w:bidi="ar"/>
        </w:rPr>
        <w:t>县（市、区）</w:t>
      </w:r>
      <w:r>
        <w:rPr>
          <w:rFonts w:hint="eastAsia" w:ascii="仿宋_GB2312" w:hAnsi="仿宋_GB2312" w:eastAsia="仿宋_GB2312" w:cs="仿宋_GB2312"/>
          <w:highlight w:val="none"/>
          <w:lang w:val="en-US" w:eastAsia="zh-CN"/>
        </w:rPr>
        <w:t>医疗保障经办机构与定点评估机构签订评估服务协议，明确双方的责任、权利和义务。</w:t>
      </w:r>
    </w:p>
    <w:p w14:paraId="4899837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 xml:space="preserve">第八条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定点评估机构应严格履行评估服务协议，加强内部建设，优化服务，提升人员素质能力，强化质量控制，确保评估质量和评估结论准确性。</w:t>
      </w:r>
    </w:p>
    <w:p w14:paraId="209FDF4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第九条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定点评估机构不得同时承担依评估结论而开展的长期护理服务工作，不得同时承担长期护理保险经办工作。</w:t>
      </w:r>
    </w:p>
    <w:p w14:paraId="5178172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第十条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鼓励支持发展独立的定点评估机构。暂不具备实施条件的，可依托医疗机构、劳动能力鉴定机构、商业保险机构等实施评估。随制度健全完善，逐步向独立的定点评估机构实施评估形式过渡。</w:t>
      </w:r>
    </w:p>
    <w:p w14:paraId="31F55B8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highlight w:val="none"/>
          <w:lang w:val="en-US" w:eastAsia="zh-CN"/>
        </w:rPr>
      </w:pPr>
    </w:p>
    <w:p w14:paraId="6C98140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第三章 评估人员</w:t>
      </w:r>
    </w:p>
    <w:p w14:paraId="1E4351E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 xml:space="preserve">第十一条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评估人员是指符合一定条件，经专门培训合格，具体实施失能等级评估的专业人员。评估人员包括评估员和评估专家。评估员负责采集评估信息，协助开展现场评估。评估专家负责开展现场评估，提出评估结论；承担复评工作；依据护理服务需求提出护理服务计划的合理化建议。</w:t>
      </w:r>
    </w:p>
    <w:p w14:paraId="585E2AF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 xml:space="preserve">第十二条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评估员应具备以下基本条件：</w:t>
      </w:r>
    </w:p>
    <w:p w14:paraId="6E2B043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（一）具备医学、护理、康复、心理、长期照护、养老服务与管理等相关专业背景，从事相关专业工作2年（含）以上；</w:t>
      </w:r>
    </w:p>
    <w:p w14:paraId="750563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（二）参加规范化培训并考核合格，掌握长期护理失能等级评估标准，熟悉评估操作要求；</w:t>
      </w:r>
    </w:p>
    <w:p w14:paraId="0D7F0C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（三）具有良好的职业道德和操守，在工作中能够做到遵纪守法、廉洁自律、客观公正，在相关行业领域无不良信用信息记录。</w:t>
      </w:r>
    </w:p>
    <w:p w14:paraId="675E44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评估专家除具备上述第（二）项、第（三）项条件外，还应具有临床医学、护理、康复、精神心理等领域中级及以上职称和2年（含）以上相关工作经历。</w:t>
      </w:r>
    </w:p>
    <w:p w14:paraId="6DBDF92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第十三条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县（市、区）</w:t>
      </w:r>
      <w:r>
        <w:rPr>
          <w:rFonts w:hint="eastAsia" w:ascii="仿宋_GB2312" w:hAnsi="仿宋_GB2312" w:eastAsia="仿宋_GB2312" w:cs="仿宋_GB2312"/>
          <w:highlight w:val="none"/>
          <w:lang w:val="en-US" w:eastAsia="zh-CN"/>
        </w:rPr>
        <w:t>医疗保障经办机构要建立长期护理保险失能等级评估员、评估专家等评估人员库，完善档案管理制度，规范人员管理。定期组织考核，明确准入退出机制。</w:t>
      </w:r>
    </w:p>
    <w:p w14:paraId="388111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 xml:space="preserve">第十四条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医疗保障部门应会同有关部门建立健全评估人员规范化培训机制，自行组织或探索委托第三方机构等组织做好评估人员培训，提升人员队伍专业化水平。</w:t>
      </w:r>
    </w:p>
    <w:p w14:paraId="41868B5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 xml:space="preserve">第十五条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评估人员应严格执行评估操作规范要求，独立、客观、公正地开展评估工作。与评估对象有亲属或利害关系的，应当回避。</w:t>
      </w:r>
    </w:p>
    <w:p w14:paraId="31BE6E5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highlight w:val="none"/>
          <w:lang w:val="en-US" w:eastAsia="zh-CN"/>
        </w:rPr>
      </w:pPr>
    </w:p>
    <w:p w14:paraId="3B77CB1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第四章 评估标准及流程</w:t>
      </w:r>
    </w:p>
    <w:p w14:paraId="506DA88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第十六条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全市统一执行国家关于长期护理失能等级评估标准及操作指南。探索建立评估结果跨部门、跨统筹区互认机制。</w:t>
      </w:r>
    </w:p>
    <w:p w14:paraId="2894DB20">
      <w:pPr>
        <w:pStyle w:val="4"/>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eastAsia" w:ascii="仿宋_GB2312" w:hAnsi="仿宋_GB2312" w:eastAsia="仿宋_GB2312" w:cs="仿宋_GB2312"/>
          <w:b/>
          <w:bCs/>
          <w:highlight w:val="none"/>
          <w:lang w:val="en-US" w:eastAsia="zh-CN"/>
        </w:rPr>
      </w:pPr>
      <w:r>
        <w:rPr>
          <w:rFonts w:hint="eastAsia" w:ascii="仿宋_GB2312" w:hAnsi="仿宋_GB2312" w:eastAsia="仿宋_GB2312" w:cs="仿宋_GB2312"/>
          <w:b/>
          <w:bCs/>
          <w:kern w:val="2"/>
          <w:sz w:val="32"/>
          <w:szCs w:val="24"/>
          <w:highlight w:val="none"/>
          <w:lang w:val="en-US" w:eastAsia="zh-CN" w:bidi="ar-SA"/>
        </w:rPr>
        <w:t xml:space="preserve">第十七条  </w:t>
      </w:r>
      <w:r>
        <w:rPr>
          <w:rFonts w:hint="eastAsia" w:ascii="仿宋_GB2312" w:hAnsi="仿宋_GB2312" w:eastAsia="仿宋_GB2312" w:cs="仿宋_GB2312"/>
          <w:color w:val="auto"/>
          <w:sz w:val="32"/>
          <w:szCs w:val="32"/>
          <w:highlight w:val="none"/>
          <w:shd w:val="clear" w:color="auto" w:fill="FFFFFF"/>
        </w:rPr>
        <w:t>参保人员</w:t>
      </w:r>
      <w:r>
        <w:rPr>
          <w:rFonts w:hint="default" w:ascii="Times New Roman" w:hAnsi="Times New Roman" w:eastAsia="仿宋_GB2312" w:cs="Times New Roman"/>
          <w:color w:val="auto"/>
          <w:sz w:val="32"/>
          <w:szCs w:val="32"/>
          <w:highlight w:val="none"/>
          <w:shd w:val="clear" w:color="auto" w:fill="FFFFFF"/>
        </w:rPr>
        <w:t>申请享受长护险待遇前，要结合自身情况开展</w:t>
      </w:r>
      <w:r>
        <w:rPr>
          <w:rFonts w:hint="eastAsia" w:cs="Times New Roman"/>
          <w:color w:val="auto"/>
          <w:sz w:val="32"/>
          <w:szCs w:val="32"/>
          <w:highlight w:val="none"/>
          <w:shd w:val="clear" w:color="auto" w:fill="FFFFFF"/>
          <w:lang w:eastAsia="zh-CN"/>
        </w:rPr>
        <w:t>长护险</w:t>
      </w:r>
      <w:r>
        <w:rPr>
          <w:rFonts w:hint="default" w:ascii="Times New Roman" w:hAnsi="Times New Roman" w:eastAsia="仿宋_GB2312" w:cs="Times New Roman"/>
          <w:color w:val="auto"/>
          <w:sz w:val="32"/>
          <w:szCs w:val="32"/>
          <w:highlight w:val="none"/>
          <w:shd w:val="clear" w:color="auto" w:fill="FFFFFF"/>
        </w:rPr>
        <w:t>失能等级自评</w:t>
      </w:r>
      <w:r>
        <w:rPr>
          <w:rFonts w:hint="eastAsia" w:ascii="仿宋_GB2312" w:hAnsi="仿宋_GB2312" w:eastAsia="仿宋_GB2312" w:cs="仿宋_GB2312"/>
          <w:color w:val="auto"/>
          <w:sz w:val="32"/>
          <w:szCs w:val="32"/>
          <w:highlight w:val="none"/>
          <w:shd w:val="clear" w:color="auto" w:fill="FFFFFF"/>
        </w:rPr>
        <w:t>，</w:t>
      </w:r>
      <w:r>
        <w:rPr>
          <w:rFonts w:hint="eastAsia" w:ascii="仿宋_GB2312" w:hAnsi="仿宋_GB2312" w:cs="仿宋_GB2312"/>
          <w:color w:val="auto"/>
          <w:sz w:val="32"/>
          <w:szCs w:val="32"/>
          <w:highlight w:val="none"/>
          <w:shd w:val="clear" w:color="auto" w:fill="FFFFFF"/>
          <w:lang w:eastAsia="zh-CN"/>
        </w:rPr>
        <w:t>并</w:t>
      </w:r>
      <w:r>
        <w:rPr>
          <w:rFonts w:hint="eastAsia" w:ascii="仿宋_GB2312" w:hAnsi="仿宋_GB2312" w:eastAsia="仿宋_GB2312" w:cs="仿宋_GB2312"/>
          <w:color w:val="auto"/>
          <w:sz w:val="32"/>
          <w:szCs w:val="32"/>
          <w:highlight w:val="none"/>
          <w:shd w:val="clear" w:color="auto" w:fill="FFFFFF"/>
        </w:rPr>
        <w:t>接受</w:t>
      </w:r>
      <w:r>
        <w:rPr>
          <w:rFonts w:hint="eastAsia" w:ascii="仿宋_GB2312" w:hAnsi="仿宋_GB2312" w:eastAsia="仿宋_GB2312" w:cs="仿宋_GB2312"/>
          <w:color w:val="auto"/>
          <w:sz w:val="32"/>
          <w:szCs w:val="32"/>
          <w:highlight w:val="none"/>
          <w:shd w:val="clear" w:color="auto" w:fill="FFFFFF"/>
          <w:lang w:eastAsia="zh-CN"/>
        </w:rPr>
        <w:t>参保地</w:t>
      </w:r>
      <w:r>
        <w:rPr>
          <w:rFonts w:hint="eastAsia" w:ascii="仿宋_GB2312" w:hAnsi="仿宋_GB2312" w:eastAsia="仿宋_GB2312" w:cs="仿宋_GB2312"/>
          <w:color w:val="auto"/>
          <w:sz w:val="32"/>
          <w:szCs w:val="32"/>
          <w:highlight w:val="none"/>
          <w:shd w:val="clear" w:color="auto" w:fill="FFFFFF"/>
        </w:rPr>
        <w:t>医疗保障</w:t>
      </w:r>
      <w:r>
        <w:rPr>
          <w:rFonts w:hint="eastAsia" w:ascii="仿宋_GB2312" w:hAnsi="仿宋_GB2312" w:eastAsia="仿宋_GB2312" w:cs="仿宋_GB2312"/>
          <w:color w:val="auto"/>
          <w:sz w:val="32"/>
          <w:szCs w:val="32"/>
          <w:highlight w:val="none"/>
          <w:shd w:val="clear" w:color="auto" w:fill="FFFFFF"/>
          <w:lang w:eastAsia="zh-CN"/>
        </w:rPr>
        <w:t>经办机构</w:t>
      </w:r>
      <w:r>
        <w:rPr>
          <w:rFonts w:hint="eastAsia" w:ascii="仿宋_GB2312" w:hAnsi="仿宋_GB2312" w:eastAsia="仿宋_GB2312" w:cs="仿宋_GB2312"/>
          <w:color w:val="auto"/>
          <w:sz w:val="32"/>
          <w:szCs w:val="32"/>
          <w:highlight w:val="none"/>
          <w:shd w:val="clear" w:color="auto" w:fill="FFFFFF"/>
        </w:rPr>
        <w:t>组织的长护险失能等级评估。经评估认定失能等级为重度失能等级的参保人员纳入长护险待遇保障范围。</w:t>
      </w:r>
    </w:p>
    <w:p w14:paraId="535F11B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第十</w:t>
      </w:r>
      <w:r>
        <w:rPr>
          <w:rFonts w:hint="eastAsia" w:ascii="仿宋_GB2312" w:hAnsi="仿宋_GB2312" w:cs="仿宋_GB2312"/>
          <w:b/>
          <w:bCs/>
          <w:highlight w:val="none"/>
          <w:lang w:val="en-US" w:eastAsia="zh-CN"/>
        </w:rPr>
        <w:t>八</w:t>
      </w:r>
      <w:r>
        <w:rPr>
          <w:rFonts w:hint="eastAsia" w:ascii="仿宋_GB2312" w:hAnsi="仿宋_GB2312" w:eastAsia="仿宋_GB2312" w:cs="仿宋_GB2312"/>
          <w:b/>
          <w:bCs/>
          <w:highlight w:val="none"/>
          <w:lang w:val="en-US" w:eastAsia="zh-CN"/>
        </w:rPr>
        <w:t>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失能等级评估流程主要包括评估申请、受理审核、现场评估、提出结论、公示与送达等环节。</w:t>
      </w:r>
    </w:p>
    <w:p w14:paraId="658A09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w:t>
      </w:r>
      <w:r>
        <w:rPr>
          <w:rFonts w:hint="eastAsia" w:ascii="仿宋_GB2312" w:hAnsi="仿宋_GB2312" w:cs="仿宋_GB2312"/>
          <w:b/>
          <w:bCs/>
          <w:highlight w:val="none"/>
          <w:lang w:val="en-US" w:eastAsia="zh-CN"/>
        </w:rPr>
        <w:t>十九</w:t>
      </w:r>
      <w:r>
        <w:rPr>
          <w:rFonts w:hint="eastAsia" w:ascii="仿宋_GB2312" w:hAnsi="仿宋_GB2312" w:eastAsia="仿宋_GB2312" w:cs="仿宋_GB2312"/>
          <w:b/>
          <w:bCs/>
          <w:highlight w:val="none"/>
          <w:lang w:val="en-US" w:eastAsia="zh-CN"/>
        </w:rPr>
        <w:t>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评估申请。因年老、疾病、伤残等导致失能，失能状态持续6个月（含）以上的参保人员，可由本人或其监护人、委托代理人在每月前10个工作</w:t>
      </w:r>
      <w:r>
        <w:rPr>
          <w:rFonts w:hint="eastAsia" w:ascii="仿宋_GB2312" w:hAnsi="仿宋_GB2312" w:cs="仿宋_GB2312"/>
          <w:b w:val="0"/>
          <w:bCs w:val="0"/>
          <w:highlight w:val="none"/>
          <w:lang w:val="en-US" w:eastAsia="zh-CN"/>
        </w:rPr>
        <w:t>日内</w:t>
      </w:r>
      <w:r>
        <w:rPr>
          <w:rFonts w:hint="eastAsia" w:ascii="仿宋_GB2312" w:hAnsi="仿宋_GB2312" w:eastAsia="仿宋_GB2312" w:cs="仿宋_GB2312"/>
          <w:b w:val="0"/>
          <w:bCs w:val="0"/>
          <w:highlight w:val="none"/>
          <w:lang w:val="en-US" w:eastAsia="zh-CN"/>
        </w:rPr>
        <w:t>，</w:t>
      </w:r>
      <w:r>
        <w:rPr>
          <w:rFonts w:hint="eastAsia" w:ascii="仿宋_GB2312" w:hAnsi="仿宋_GB2312" w:eastAsia="仿宋_GB2312" w:cs="仿宋_GB2312"/>
          <w:color w:val="auto"/>
          <w:sz w:val="32"/>
          <w:szCs w:val="32"/>
          <w:highlight w:val="none"/>
          <w:shd w:val="clear" w:color="auto" w:fill="FFFFFF"/>
          <w:lang w:val="en-US" w:eastAsia="zh-CN"/>
        </w:rPr>
        <w:t>自愿向参保地医疗保障经办机构提出评估申请，提交身份证或社保卡复印件、《长期护理保险失能等级自评表》</w:t>
      </w:r>
      <w:r>
        <w:rPr>
          <w:rFonts w:hint="eastAsia" w:ascii="仿宋_GB2312" w:hAnsi="仿宋_GB2312" w:cs="仿宋_GB2312"/>
          <w:color w:val="auto"/>
          <w:sz w:val="32"/>
          <w:szCs w:val="32"/>
          <w:highlight w:val="none"/>
          <w:shd w:val="clear" w:color="auto" w:fill="FFFFFF"/>
          <w:lang w:val="en-US" w:eastAsia="zh-CN"/>
        </w:rPr>
        <w:t>（见附件1）</w:t>
      </w:r>
      <w:r>
        <w:rPr>
          <w:rFonts w:hint="eastAsia" w:ascii="仿宋_GB2312" w:hAnsi="仿宋_GB2312" w:eastAsia="仿宋_GB2312" w:cs="仿宋_GB2312"/>
          <w:color w:val="auto"/>
          <w:sz w:val="32"/>
          <w:szCs w:val="32"/>
          <w:highlight w:val="none"/>
          <w:shd w:val="clear" w:color="auto" w:fill="FFFFFF"/>
          <w:lang w:val="en-US" w:eastAsia="zh-CN"/>
        </w:rPr>
        <w:t>、《长期护理保险失能等级评估申请表》</w:t>
      </w:r>
      <w:r>
        <w:rPr>
          <w:rFonts w:hint="eastAsia" w:ascii="仿宋_GB2312" w:hAnsi="仿宋_GB2312" w:cs="仿宋_GB2312"/>
          <w:color w:val="auto"/>
          <w:sz w:val="32"/>
          <w:szCs w:val="32"/>
          <w:highlight w:val="none"/>
          <w:shd w:val="clear" w:color="auto" w:fill="FFFFFF"/>
          <w:lang w:val="en-US" w:eastAsia="zh-CN"/>
        </w:rPr>
        <w:t>（见附件2）</w:t>
      </w:r>
      <w:r>
        <w:rPr>
          <w:rFonts w:hint="eastAsia" w:ascii="仿宋_GB2312" w:hAnsi="仿宋_GB2312" w:eastAsia="仿宋_GB2312" w:cs="仿宋_GB2312"/>
          <w:color w:val="auto"/>
          <w:sz w:val="32"/>
          <w:szCs w:val="32"/>
          <w:highlight w:val="none"/>
          <w:shd w:val="clear" w:color="auto" w:fill="FFFFFF"/>
          <w:lang w:val="en-US" w:eastAsia="zh-CN"/>
        </w:rPr>
        <w:t>、住院病历复印件或有效诊断证明</w:t>
      </w:r>
      <w:r>
        <w:rPr>
          <w:rFonts w:hint="eastAsia" w:ascii="仿宋_GB2312" w:hAnsi="仿宋_GB2312" w:eastAsia="仿宋_GB2312" w:cs="仿宋_GB2312"/>
          <w:b w:val="0"/>
          <w:bCs w:val="0"/>
          <w:highlight w:val="none"/>
          <w:lang w:val="en-US" w:eastAsia="zh-CN"/>
        </w:rPr>
        <w:t>。各</w:t>
      </w:r>
      <w:r>
        <w:rPr>
          <w:rFonts w:hint="eastAsia" w:ascii="仿宋_GB2312" w:hAnsi="仿宋_GB2312" w:eastAsia="仿宋_GB2312" w:cs="仿宋_GB2312"/>
          <w:highlight w:val="none"/>
        </w:rPr>
        <w:t>县（市、区）</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highlight w:val="none"/>
          <w:lang w:val="en-US" w:eastAsia="zh-CN"/>
        </w:rPr>
        <w:t>应建立方便群众办事的多元化申请受理渠道。</w:t>
      </w:r>
    </w:p>
    <w:p w14:paraId="23F874C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第二十条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受理审核。</w:t>
      </w:r>
      <w:r>
        <w:rPr>
          <w:rFonts w:hint="eastAsia" w:ascii="仿宋_GB2312" w:hAnsi="仿宋_GB2312" w:eastAsia="仿宋_GB2312" w:cs="仿宋_GB2312"/>
          <w:highlight w:val="none"/>
          <w:lang w:eastAsia="zh-CN"/>
        </w:rPr>
        <w:t>参保地</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b w:val="0"/>
          <w:bCs w:val="0"/>
          <w:highlight w:val="none"/>
          <w:lang w:val="en-US" w:eastAsia="zh-CN"/>
        </w:rPr>
        <w:t>收到评估申请后，应及时对申请材料进行审核，反馈受理审核结果。有下列情形之一的，不予受理评估申请：</w:t>
      </w:r>
    </w:p>
    <w:p w14:paraId="00F0D3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val="0"/>
          <w:bCs w:val="0"/>
          <w:highlight w:val="none"/>
          <w:lang w:val="en-US" w:eastAsia="zh-CN"/>
        </w:rPr>
        <w:t>（一）未参加本市长期护理保险的；</w:t>
      </w:r>
    </w:p>
    <w:p w14:paraId="02A805B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val="0"/>
          <w:bCs w:val="0"/>
          <w:highlight w:val="none"/>
          <w:lang w:val="en-US" w:eastAsia="zh-CN"/>
        </w:rPr>
        <w:t>（二）申请时，不在基本医保待遇享受期的；</w:t>
      </w:r>
    </w:p>
    <w:p w14:paraId="16FA3B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val="0"/>
          <w:bCs w:val="0"/>
          <w:highlight w:val="none"/>
          <w:lang w:val="en-US" w:eastAsia="zh-CN"/>
        </w:rPr>
        <w:t>（三）发生护理服务费用不属于长期护理保险基金支付范围的；</w:t>
      </w:r>
    </w:p>
    <w:p w14:paraId="2C37538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val="0"/>
          <w:bCs w:val="0"/>
          <w:highlight w:val="none"/>
          <w:lang w:val="en-US" w:eastAsia="zh-CN"/>
        </w:rPr>
        <w:t>（四）申报材料不全或提供虚假材料的；</w:t>
      </w:r>
    </w:p>
    <w:p w14:paraId="3DBB645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val="0"/>
          <w:bCs w:val="0"/>
          <w:highlight w:val="none"/>
          <w:lang w:val="en-US" w:eastAsia="zh-CN"/>
        </w:rPr>
        <w:t>（五）距上次作出失能等级评估结论未满6个月（含）的；</w:t>
      </w:r>
    </w:p>
    <w:p w14:paraId="37AB46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val="0"/>
          <w:bCs w:val="0"/>
          <w:highlight w:val="none"/>
          <w:lang w:val="en-US" w:eastAsia="zh-CN"/>
        </w:rPr>
        <w:t>（六）其他长期护理保险不予受理评估申请的情形。</w:t>
      </w:r>
    </w:p>
    <w:p w14:paraId="6712A44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第二十二条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现场评估。审核通过后，所在地</w:t>
      </w:r>
      <w:r>
        <w:rPr>
          <w:rFonts w:hint="eastAsia" w:ascii="仿宋_GB2312" w:hAnsi="仿宋_GB2312" w:eastAsia="仿宋_GB2312" w:cs="仿宋_GB2312"/>
          <w:highlight w:val="none"/>
          <w:lang w:val="en-US" w:eastAsia="zh-CN"/>
        </w:rPr>
        <w:t>医疗保障</w:t>
      </w:r>
      <w:r>
        <w:rPr>
          <w:rFonts w:hint="eastAsia" w:ascii="仿宋_GB2312" w:hAnsi="仿宋_GB2312" w:eastAsia="仿宋_GB2312" w:cs="仿宋_GB2312"/>
          <w:highlight w:val="none"/>
          <w:lang w:eastAsia="zh-CN"/>
        </w:rPr>
        <w:t>经办机构</w:t>
      </w:r>
      <w:r>
        <w:rPr>
          <w:rFonts w:hint="eastAsia" w:ascii="仿宋_GB2312" w:hAnsi="仿宋_GB2312" w:eastAsia="仿宋_GB2312" w:cs="仿宋_GB2312"/>
          <w:b w:val="0"/>
          <w:bCs w:val="0"/>
          <w:highlight w:val="none"/>
          <w:lang w:val="en-US" w:eastAsia="zh-CN"/>
        </w:rPr>
        <w:t>应</w:t>
      </w:r>
      <w:r>
        <w:rPr>
          <w:rFonts w:hint="eastAsia" w:ascii="仿宋_GB2312" w:hAnsi="仿宋_GB2312" w:eastAsia="仿宋_GB2312" w:cs="仿宋_GB2312"/>
          <w:color w:val="auto"/>
          <w:sz w:val="32"/>
          <w:szCs w:val="32"/>
          <w:highlight w:val="none"/>
          <w:shd w:val="clear" w:color="auto" w:fill="FFFFFF"/>
          <w:lang w:val="en-US" w:eastAsia="zh-CN"/>
        </w:rPr>
        <w:t>于7个工作日内</w:t>
      </w:r>
      <w:r>
        <w:rPr>
          <w:rFonts w:hint="eastAsia" w:ascii="仿宋_GB2312" w:hAnsi="仿宋_GB2312" w:eastAsia="仿宋_GB2312" w:cs="仿宋_GB2312"/>
          <w:b w:val="0"/>
          <w:bCs w:val="0"/>
          <w:highlight w:val="none"/>
          <w:lang w:val="en-US" w:eastAsia="zh-CN"/>
        </w:rPr>
        <w:t>组织定点评估机构开展评估工作。原则上应有至少2名评估人员上门，其中至少有1名评估专家。现场评估人员依据失能等级评估标准和评估操作指南，采集信息，开展评估。须有至少1名评估对象的监护人或委托代理人在场。同时可在邻里、社区等一定范围内走访调查评估对象的基本生活自理情况，做好调查笔录和视频录像，并参考医院住院病历或诊断书等相关资料，作为提出评估结论的佐证资料。</w:t>
      </w:r>
    </w:p>
    <w:p w14:paraId="1220931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第二十三条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提出结论。现场评估人员可直接提出评估结论的，由现场评估人员提出评估结论。现场评估人员不能直接提出评估结论的，由定点评估机构组织评估专家依据现场采集信息，提出评估结论。评估结论应经过至少2名评估专家的评估确认。</w:t>
      </w:r>
    </w:p>
    <w:p w14:paraId="3E5E7D8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 xml:space="preserve">第二十四条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公示与送达。评估结论达到待遇享受条件对应失能等级的，定点评估机构和医疗保障经办机构应当在一定范围内公示评估结论，接受社会监督。不符合待遇享受条件的，或符合待遇享受条件经公示无异议的，定点评估机构出具评估结论书</w:t>
      </w:r>
      <w:r>
        <w:rPr>
          <w:rFonts w:hint="eastAsia" w:ascii="仿宋_GB2312" w:hAnsi="仿宋_GB2312" w:cs="仿宋_GB2312"/>
          <w:color w:val="auto"/>
          <w:sz w:val="32"/>
          <w:szCs w:val="32"/>
          <w:highlight w:val="none"/>
          <w:shd w:val="clear" w:color="auto" w:fill="FFFFFF"/>
          <w:lang w:val="en-US" w:eastAsia="zh-CN"/>
        </w:rPr>
        <w:t>（见附件3）</w:t>
      </w:r>
      <w:r>
        <w:rPr>
          <w:rFonts w:hint="eastAsia" w:ascii="仿宋_GB2312" w:hAnsi="仿宋_GB2312" w:eastAsia="仿宋_GB2312" w:cs="仿宋_GB2312"/>
          <w:b w:val="0"/>
          <w:bCs w:val="0"/>
          <w:highlight w:val="none"/>
          <w:lang w:val="en-US" w:eastAsia="zh-CN"/>
        </w:rPr>
        <w:t>。医疗保障经办机构向评估对象或其监护人、委托代理人送达评估结论书。</w:t>
      </w:r>
    </w:p>
    <w:p w14:paraId="1348B2D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第二十</w:t>
      </w:r>
      <w:r>
        <w:rPr>
          <w:rFonts w:hint="eastAsia" w:ascii="仿宋_GB2312" w:hAnsi="仿宋_GB2312" w:cs="仿宋_GB2312"/>
          <w:b/>
          <w:bCs/>
          <w:highlight w:val="none"/>
          <w:lang w:val="en-US" w:eastAsia="zh-CN"/>
        </w:rPr>
        <w:t>五</w:t>
      </w:r>
      <w:r>
        <w:rPr>
          <w:rFonts w:hint="eastAsia" w:ascii="仿宋_GB2312" w:hAnsi="仿宋_GB2312" w:eastAsia="仿宋_GB2312" w:cs="仿宋_GB2312"/>
          <w:b/>
          <w:bCs/>
          <w:highlight w:val="none"/>
          <w:lang w:val="en-US" w:eastAsia="zh-CN"/>
        </w:rPr>
        <w:t>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评估终止。评估对象或其监护人、委托代理人应当积极配合开展现场评估工作。有下列情形之一的，评估终止：</w:t>
      </w:r>
    </w:p>
    <w:p w14:paraId="474749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val="0"/>
          <w:bCs w:val="0"/>
          <w:highlight w:val="none"/>
          <w:lang w:val="en-US" w:eastAsia="zh-CN"/>
        </w:rPr>
        <w:t>（一）拒不接受失能等级评估信息采集的；</w:t>
      </w:r>
    </w:p>
    <w:p w14:paraId="06062C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val="0"/>
          <w:bCs w:val="0"/>
          <w:highlight w:val="none"/>
          <w:lang w:val="en-US" w:eastAsia="zh-CN"/>
        </w:rPr>
        <w:t>（二）无正当理由不配合失能等级评估的；</w:t>
      </w:r>
    </w:p>
    <w:p w14:paraId="337DBE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val="0"/>
          <w:bCs w:val="0"/>
          <w:highlight w:val="none"/>
          <w:lang w:val="en-US" w:eastAsia="zh-CN"/>
        </w:rPr>
        <w:t>（三）其他原因导致失能等级评估终止的。</w:t>
      </w:r>
    </w:p>
    <w:p w14:paraId="045A212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第二十</w:t>
      </w:r>
      <w:r>
        <w:rPr>
          <w:rFonts w:hint="eastAsia" w:ascii="仿宋_GB2312" w:hAnsi="仿宋_GB2312" w:cs="仿宋_GB2312"/>
          <w:b/>
          <w:bCs/>
          <w:highlight w:val="none"/>
          <w:lang w:val="en-US" w:eastAsia="zh-CN"/>
        </w:rPr>
        <w:t>六</w:t>
      </w:r>
      <w:r>
        <w:rPr>
          <w:rFonts w:hint="eastAsia" w:ascii="仿宋_GB2312" w:hAnsi="仿宋_GB2312" w:eastAsia="仿宋_GB2312" w:cs="仿宋_GB2312"/>
          <w:b/>
          <w:bCs/>
          <w:highlight w:val="none"/>
          <w:lang w:val="en-US" w:eastAsia="zh-CN"/>
        </w:rPr>
        <w:t xml:space="preserve">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医疗保障经办机构要按照便民高效的原则，不断提升服务效率，优化评估申请、受理审核、现场评估、提出结论、公示与送达等流程，明确办理时限要求，原则上评估结论书应在申请受理之日起30个工作日内送达。</w:t>
      </w:r>
    </w:p>
    <w:p w14:paraId="47FE355E">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b/>
          <w:bCs/>
          <w:kern w:val="2"/>
          <w:sz w:val="32"/>
          <w:szCs w:val="24"/>
          <w:highlight w:val="none"/>
          <w:lang w:val="en-US" w:eastAsia="zh-CN" w:bidi="ar-SA"/>
        </w:rPr>
        <w:t xml:space="preserve">第二十七条 </w:t>
      </w:r>
      <w:r>
        <w:rPr>
          <w:rFonts w:hint="eastAsia" w:ascii="仿宋_GB2312" w:hAnsi="仿宋_GB2312" w:cs="仿宋_GB2312"/>
          <w:b/>
          <w:bCs/>
          <w:kern w:val="2"/>
          <w:sz w:val="32"/>
          <w:szCs w:val="24"/>
          <w:highlight w:val="none"/>
          <w:lang w:val="en-US" w:eastAsia="zh-CN" w:bidi="ar-SA"/>
        </w:rPr>
        <w:t xml:space="preserve"> </w:t>
      </w:r>
      <w:r>
        <w:rPr>
          <w:rStyle w:val="7"/>
          <w:rFonts w:hint="eastAsia" w:ascii="仿宋_GB2312" w:hAnsi="仿宋_GB2312" w:eastAsia="仿宋_GB2312" w:cs="仿宋_GB2312"/>
          <w:b w:val="0"/>
          <w:bCs/>
          <w:color w:val="auto"/>
          <w:sz w:val="32"/>
          <w:szCs w:val="32"/>
          <w:highlight w:val="none"/>
          <w:shd w:val="clear" w:color="auto" w:fill="FFFFFF"/>
          <w:lang w:val="en-US" w:eastAsia="zh-CN"/>
        </w:rPr>
        <w:t>建立失能等级评估费用分担机制。</w:t>
      </w:r>
      <w:r>
        <w:rPr>
          <w:rFonts w:hint="eastAsia" w:ascii="仿宋_GB2312" w:hAnsi="仿宋_GB2312" w:eastAsia="仿宋_GB2312" w:cs="仿宋_GB2312"/>
          <w:color w:val="auto"/>
          <w:sz w:val="32"/>
          <w:szCs w:val="32"/>
          <w:highlight w:val="none"/>
          <w:shd w:val="clear" w:color="auto" w:fill="FFFFFF"/>
          <w:lang w:val="en-US" w:eastAsia="zh-CN"/>
        </w:rPr>
        <w:t>参保人员的失能评估服务费每人每</w:t>
      </w:r>
      <w:r>
        <w:rPr>
          <w:rStyle w:val="7"/>
          <w:rFonts w:hint="eastAsia" w:ascii="仿宋_GB2312" w:hAnsi="仿宋_GB2312" w:eastAsia="仿宋_GB2312" w:cs="仿宋_GB2312"/>
          <w:b w:val="0"/>
          <w:bCs/>
          <w:color w:val="auto"/>
          <w:sz w:val="32"/>
          <w:szCs w:val="32"/>
          <w:highlight w:val="none"/>
          <w:shd w:val="clear" w:color="auto" w:fill="FFFFFF"/>
          <w:lang w:val="en-US" w:eastAsia="zh-CN"/>
        </w:rPr>
        <w:t>次200</w:t>
      </w:r>
      <w:r>
        <w:rPr>
          <w:rFonts w:hint="eastAsia" w:ascii="仿宋_GB2312" w:hAnsi="仿宋_GB2312" w:eastAsia="仿宋_GB2312" w:cs="仿宋_GB2312"/>
          <w:color w:val="auto"/>
          <w:sz w:val="32"/>
          <w:szCs w:val="32"/>
          <w:highlight w:val="none"/>
          <w:shd w:val="clear" w:color="auto" w:fill="FFFFFF"/>
          <w:lang w:val="en-US" w:eastAsia="zh-CN"/>
        </w:rPr>
        <w:t>元，由参保人员先行全额预付。</w:t>
      </w:r>
    </w:p>
    <w:p w14:paraId="1E5591C9">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（一）长护险基金支付的情形</w:t>
      </w:r>
    </w:p>
    <w:p w14:paraId="7914A6B1">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1.参保人员首次申请失能评估且评估通过的；</w:t>
      </w:r>
    </w:p>
    <w:p w14:paraId="5F583F37">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2.有效期届</w:t>
      </w:r>
      <w:r>
        <w:rPr>
          <w:rFonts w:hint="eastAsia" w:ascii="仿宋_GB2312" w:hAnsi="仿宋_GB2312" w:cs="仿宋_GB2312"/>
          <w:color w:val="auto"/>
          <w:sz w:val="32"/>
          <w:szCs w:val="32"/>
          <w:highlight w:val="none"/>
          <w:shd w:val="clear" w:color="auto" w:fill="FFFFFF"/>
          <w:lang w:val="en-US" w:eastAsia="zh-CN"/>
        </w:rPr>
        <w:t>满后</w:t>
      </w:r>
      <w:r>
        <w:rPr>
          <w:rFonts w:hint="eastAsia" w:ascii="仿宋_GB2312" w:hAnsi="仿宋_GB2312" w:eastAsia="仿宋_GB2312" w:cs="仿宋_GB2312"/>
          <w:color w:val="auto"/>
          <w:sz w:val="32"/>
          <w:szCs w:val="32"/>
          <w:highlight w:val="none"/>
          <w:shd w:val="clear" w:color="auto" w:fill="FFFFFF"/>
          <w:lang w:val="en-US" w:eastAsia="zh-CN"/>
        </w:rPr>
        <w:t>按规定开展重新评估的；</w:t>
      </w:r>
    </w:p>
    <w:p w14:paraId="252158E7">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3.参保人员对评估结论有异议申请复评，经复评符合待遇享受条件的；</w:t>
      </w:r>
    </w:p>
    <w:p w14:paraId="56DAE85E">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4.因医疗保障部门工作需要，组织开展稽核抽查、监管复核等复评的。</w:t>
      </w:r>
    </w:p>
    <w:p w14:paraId="757F42ED">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（二）个人承担的情形</w:t>
      </w:r>
    </w:p>
    <w:p w14:paraId="166D0126">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1.参保人员首次申请失能评估但评估未通过的；</w:t>
      </w:r>
    </w:p>
    <w:p w14:paraId="1555541C">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2.参保人员对评估结论有异议申请复评，但复评结论未发生变化的或不符合待遇享受条件的；</w:t>
      </w:r>
    </w:p>
    <w:p w14:paraId="648FD0B6">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3.因参保人员提交虚假资料或信息导致评估终止的；</w:t>
      </w:r>
    </w:p>
    <w:p w14:paraId="46ABFE01">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4.因参保人员不配合评估、信息采集等原因导致评估终止的。</w:t>
      </w:r>
    </w:p>
    <w:p w14:paraId="1E9BCFFC">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（三）评估监管承担的情形</w:t>
      </w:r>
    </w:p>
    <w:p w14:paraId="5E5559B5">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评估过程中因评估机构或评估人员原因造成评估工作中断、无法完成的。</w:t>
      </w:r>
    </w:p>
    <w:p w14:paraId="70539791">
      <w:pPr>
        <w:pStyle w:val="4"/>
        <w:keepNext w:val="0"/>
        <w:keepLines w:val="0"/>
        <w:pageBreakBefore w:val="0"/>
        <w:widowControl/>
        <w:numPr>
          <w:ilvl w:val="0"/>
          <w:numId w:val="0"/>
        </w:numPr>
        <w:suppressLineNumbers w:val="0"/>
        <w:kinsoku/>
        <w:wordWrap w:val="0"/>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失能评估服务费由医疗保障经办机构在评估完成后的次月拨付给定点评估机构。</w:t>
      </w:r>
    </w:p>
    <w:p w14:paraId="246AE1D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仿宋_GB2312" w:hAnsi="仿宋_GB2312" w:eastAsia="仿宋_GB2312" w:cs="仿宋_GB2312"/>
          <w:highlight w:val="none"/>
          <w:lang w:val="en-US" w:eastAsia="zh-CN"/>
        </w:rPr>
      </w:pPr>
    </w:p>
    <w:p w14:paraId="04E527F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第五章 其他情形</w:t>
      </w:r>
    </w:p>
    <w:p w14:paraId="4E0368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第二十八条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评估对象或其监护人、委托代理人对失能等级评估结论有异议的，可在收到评估结论书后5个工作日内，向</w:t>
      </w:r>
      <w:r>
        <w:rPr>
          <w:rFonts w:hint="eastAsia" w:ascii="仿宋_GB2312" w:hAnsi="仿宋_GB2312" w:eastAsia="仿宋_GB2312" w:cs="仿宋_GB2312"/>
          <w:color w:val="auto"/>
          <w:sz w:val="32"/>
          <w:szCs w:val="32"/>
          <w:highlight w:val="none"/>
          <w:shd w:val="clear" w:color="auto" w:fill="FFFFFF"/>
          <w:lang w:val="en-US" w:eastAsia="zh-CN"/>
        </w:rPr>
        <w:t>参保地</w:t>
      </w:r>
      <w:r>
        <w:rPr>
          <w:rFonts w:hint="eastAsia" w:ascii="仿宋_GB2312" w:hAnsi="仿宋_GB2312" w:eastAsia="仿宋_GB2312" w:cs="仿宋_GB2312"/>
          <w:highlight w:val="none"/>
          <w:lang w:val="en-US" w:eastAsia="zh-CN"/>
        </w:rPr>
        <w:t>医疗保障经办机构提出复评申请。复评原则上有不少于2名评估专家参加，参加初次评估的定点评估机构和评估人员须回避。复评结论为最终评估结论。</w:t>
      </w:r>
    </w:p>
    <w:p w14:paraId="36EC24F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 xml:space="preserve"> </w:t>
      </w:r>
      <w:r>
        <w:rPr>
          <w:rFonts w:hint="eastAsia" w:ascii="仿宋_GB2312" w:hAnsi="仿宋_GB2312" w:eastAsia="仿宋_GB2312" w:cs="仿宋_GB2312"/>
          <w:b/>
          <w:bCs/>
          <w:highlight w:val="none"/>
          <w:lang w:val="en-US" w:eastAsia="zh-CN"/>
        </w:rPr>
        <w:t xml:space="preserve">第二十九条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第三人对公示评估结论有异议的，可在公示期内向</w:t>
      </w:r>
      <w:r>
        <w:rPr>
          <w:rFonts w:hint="eastAsia" w:ascii="仿宋_GB2312" w:hAnsi="仿宋_GB2312" w:eastAsia="仿宋_GB2312" w:cs="仿宋_GB2312"/>
          <w:color w:val="auto"/>
          <w:sz w:val="32"/>
          <w:szCs w:val="32"/>
          <w:highlight w:val="none"/>
          <w:shd w:val="clear" w:color="auto" w:fill="FFFFFF"/>
          <w:lang w:val="en-US" w:eastAsia="zh-CN"/>
        </w:rPr>
        <w:t>参保地</w:t>
      </w:r>
      <w:r>
        <w:rPr>
          <w:rFonts w:hint="eastAsia" w:ascii="仿宋_GB2312" w:hAnsi="仿宋_GB2312" w:eastAsia="仿宋_GB2312" w:cs="仿宋_GB2312"/>
          <w:highlight w:val="none"/>
          <w:lang w:val="en-US" w:eastAsia="zh-CN"/>
        </w:rPr>
        <w:t>医疗保障经办机构实名反映情况。反映情况基本属实的，由</w:t>
      </w:r>
      <w:r>
        <w:rPr>
          <w:rFonts w:hint="eastAsia" w:ascii="仿宋_GB2312" w:hAnsi="仿宋_GB2312" w:eastAsia="仿宋_GB2312" w:cs="仿宋_GB2312"/>
          <w:color w:val="auto"/>
          <w:sz w:val="32"/>
          <w:szCs w:val="32"/>
          <w:highlight w:val="none"/>
          <w:shd w:val="clear" w:color="auto" w:fill="FFFFFF"/>
          <w:lang w:val="en-US" w:eastAsia="zh-CN"/>
        </w:rPr>
        <w:t>参保地</w:t>
      </w:r>
      <w:r>
        <w:rPr>
          <w:rFonts w:hint="eastAsia" w:ascii="仿宋_GB2312" w:hAnsi="仿宋_GB2312" w:eastAsia="仿宋_GB2312" w:cs="仿宋_GB2312"/>
          <w:highlight w:val="none"/>
          <w:lang w:val="en-US" w:eastAsia="zh-CN"/>
        </w:rPr>
        <w:t>医疗保障经办机构组织复评。</w:t>
      </w:r>
      <w:r>
        <w:rPr>
          <w:rFonts w:hint="eastAsia" w:ascii="仿宋_GB2312" w:hAnsi="仿宋_GB2312" w:eastAsia="仿宋_GB2312" w:cs="仿宋_GB2312"/>
          <w:color w:val="auto"/>
          <w:sz w:val="32"/>
          <w:szCs w:val="32"/>
          <w:highlight w:val="none"/>
          <w:shd w:val="clear" w:color="auto" w:fill="FFFFFF"/>
          <w:lang w:val="en-US" w:eastAsia="zh-CN"/>
        </w:rPr>
        <w:t xml:space="preserve"> </w:t>
      </w:r>
    </w:p>
    <w:p w14:paraId="47F0DEB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 xml:space="preserve">第三十条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参保人失能状态发生变化、与评估结论不匹配的，评估结论出具满6个月（含）的，向</w:t>
      </w:r>
      <w:r>
        <w:rPr>
          <w:rFonts w:hint="eastAsia" w:ascii="仿宋_GB2312" w:hAnsi="仿宋_GB2312" w:eastAsia="仿宋_GB2312" w:cs="仿宋_GB2312"/>
          <w:color w:val="auto"/>
          <w:sz w:val="32"/>
          <w:szCs w:val="32"/>
          <w:highlight w:val="none"/>
          <w:shd w:val="clear" w:color="auto" w:fill="FFFFFF"/>
          <w:lang w:val="en-US" w:eastAsia="zh-CN"/>
        </w:rPr>
        <w:t>参保地</w:t>
      </w:r>
      <w:r>
        <w:rPr>
          <w:rFonts w:hint="eastAsia" w:ascii="仿宋_GB2312" w:hAnsi="仿宋_GB2312" w:eastAsia="仿宋_GB2312" w:cs="仿宋_GB2312"/>
          <w:highlight w:val="none"/>
          <w:lang w:val="en-US" w:eastAsia="zh-CN"/>
        </w:rPr>
        <w:t>医疗保障经办机构申请重新评估。</w:t>
      </w:r>
      <w:r>
        <w:rPr>
          <w:rFonts w:hint="eastAsia" w:ascii="仿宋_GB2312" w:hAnsi="仿宋_GB2312" w:eastAsia="仿宋_GB2312" w:cs="仿宋_GB2312"/>
          <w:color w:val="auto"/>
          <w:sz w:val="32"/>
          <w:szCs w:val="32"/>
          <w:highlight w:val="none"/>
          <w:shd w:val="clear" w:color="auto" w:fill="FFFFFF"/>
          <w:lang w:val="en-US" w:eastAsia="zh-CN"/>
        </w:rPr>
        <w:t>参保地</w:t>
      </w:r>
      <w:r>
        <w:rPr>
          <w:rFonts w:hint="eastAsia" w:ascii="仿宋_GB2312" w:hAnsi="仿宋_GB2312" w:eastAsia="仿宋_GB2312" w:cs="仿宋_GB2312"/>
          <w:highlight w:val="none"/>
          <w:lang w:val="en-US" w:eastAsia="zh-CN"/>
        </w:rPr>
        <w:t>医疗保障行政部门、经办机构通过日常核查、抽查等途径，发现参保人当前失能状态发生变化、可能影响待遇享受的，</w:t>
      </w:r>
      <w:r>
        <w:rPr>
          <w:rFonts w:hint="eastAsia" w:ascii="仿宋_GB2312" w:hAnsi="仿宋_GB2312" w:eastAsia="仿宋_GB2312" w:cs="仿宋_GB2312"/>
          <w:color w:val="auto"/>
          <w:sz w:val="32"/>
          <w:szCs w:val="32"/>
          <w:highlight w:val="none"/>
          <w:shd w:val="clear" w:color="auto" w:fill="FFFFFF"/>
          <w:lang w:val="en-US" w:eastAsia="zh-CN"/>
        </w:rPr>
        <w:t>参保地</w:t>
      </w:r>
      <w:r>
        <w:rPr>
          <w:rFonts w:hint="eastAsia" w:ascii="仿宋_GB2312" w:hAnsi="仿宋_GB2312" w:eastAsia="仿宋_GB2312" w:cs="仿宋_GB2312"/>
          <w:highlight w:val="none"/>
          <w:lang w:val="en-US" w:eastAsia="zh-CN"/>
        </w:rPr>
        <w:t>医疗保障经办机构应当组织重新评估。经评估失能等级发生变化或不符合保障范围的，应及时调整或中止长护险待遇。</w:t>
      </w:r>
    </w:p>
    <w:p w14:paraId="21DCF91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第三十一条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重度失能等级评估结论有效期一般不超过2年。评估有效期届满前，医疗保障经办机构应组织对需继续享受长期护理保险待遇的参保人员进行重新评估。经评估不符合长护险享受条件的，不再享受长护险待遇。</w:t>
      </w:r>
    </w:p>
    <w:p w14:paraId="124F4CF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b/>
          <w:bCs/>
          <w:highlight w:val="none"/>
          <w:lang w:val="en-US" w:eastAsia="zh-CN"/>
        </w:rPr>
        <w:t xml:space="preserve">第三十二条  </w:t>
      </w:r>
      <w:r>
        <w:rPr>
          <w:rFonts w:hint="eastAsia" w:ascii="仿宋_GB2312" w:hAnsi="仿宋_GB2312" w:eastAsia="仿宋_GB2312" w:cs="仿宋_GB2312"/>
          <w:color w:val="auto"/>
          <w:kern w:val="0"/>
          <w:sz w:val="32"/>
          <w:szCs w:val="32"/>
          <w:highlight w:val="none"/>
          <w:shd w:val="clear" w:color="auto" w:fill="FFFFFF"/>
          <w:lang w:val="en-US" w:eastAsia="zh-CN" w:bidi="ar"/>
        </w:rPr>
        <w:t>建立评估结论抽查机制，</w:t>
      </w:r>
      <w:r>
        <w:rPr>
          <w:rFonts w:hint="eastAsia" w:ascii="仿宋_GB2312" w:hAnsi="仿宋_GB2312" w:eastAsia="仿宋_GB2312" w:cs="仿宋_GB2312"/>
          <w:color w:val="auto"/>
          <w:sz w:val="32"/>
          <w:szCs w:val="32"/>
          <w:highlight w:val="none"/>
          <w:shd w:val="clear" w:color="auto" w:fill="FFFFFF"/>
          <w:lang w:val="en-US" w:eastAsia="zh-CN"/>
        </w:rPr>
        <w:t>对享受长护险待遇的参保人员进行调查回访及监督稽核、</w:t>
      </w:r>
      <w:r>
        <w:rPr>
          <w:rFonts w:hint="eastAsia" w:ascii="仿宋_GB2312" w:hAnsi="仿宋_GB2312" w:eastAsia="仿宋_GB2312" w:cs="仿宋_GB2312"/>
          <w:color w:val="auto"/>
          <w:kern w:val="0"/>
          <w:sz w:val="32"/>
          <w:szCs w:val="32"/>
          <w:highlight w:val="none"/>
          <w:shd w:val="clear" w:color="auto" w:fill="FFFFFF"/>
          <w:lang w:val="en-US" w:eastAsia="zh-CN" w:bidi="ar"/>
        </w:rPr>
        <w:t>抽查复核。对抽查发现问题的，按协议约定处理，并责令整改。</w:t>
      </w:r>
    </w:p>
    <w:p w14:paraId="0AE192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p>
    <w:p w14:paraId="2154C21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第六章 监督管理</w:t>
      </w:r>
    </w:p>
    <w:p w14:paraId="478737C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highlight w:val="none"/>
          <w:lang w:val="en-US" w:eastAsia="zh-CN"/>
        </w:rPr>
      </w:pPr>
      <w:r>
        <w:rPr>
          <w:rFonts w:hint="eastAsia" w:ascii="仿宋_GB2312" w:hAnsi="仿宋_GB2312" w:eastAsia="仿宋_GB2312" w:cs="仿宋_GB2312"/>
          <w:b/>
          <w:bCs/>
          <w:highlight w:val="none"/>
          <w:lang w:val="en-US" w:eastAsia="zh-CN"/>
        </w:rPr>
        <w:t xml:space="preserve">第三十三条 </w:t>
      </w:r>
      <w:r>
        <w:rPr>
          <w:rFonts w:hint="eastAsia" w:ascii="仿宋_GB2312" w:hAnsi="仿宋_GB2312" w:eastAsia="仿宋_GB2312" w:cs="仿宋_GB2312"/>
          <w:highlight w:val="none"/>
          <w:lang w:val="en-US" w:eastAsia="zh-CN"/>
        </w:rPr>
        <w:t>医疗保障行政部门对定点管理、协议履行、评估实施等进行监督</w:t>
      </w:r>
      <w:r>
        <w:rPr>
          <w:rFonts w:hint="eastAsia" w:ascii="仿宋_GB2312" w:hAnsi="仿宋_GB2312" w:eastAsia="仿宋_GB2312" w:cs="仿宋_GB2312"/>
          <w:b w:val="0"/>
          <w:bCs w:val="0"/>
          <w:highlight w:val="none"/>
          <w:lang w:val="en-US" w:eastAsia="zh-CN"/>
        </w:rPr>
        <w:t>，完善智能审核和监控规则，强化智能监管。医疗保障经办机构建立健全长期护理保险待遇评定核查机制，加强对定点评估机构协议履行情况的日常核查，对定点评估机构作出的评估结论及享受待遇人员的失能程度和生存状况进行不定期抽查。</w:t>
      </w:r>
    </w:p>
    <w:p w14:paraId="1A59E65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第三十四条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定点评估机构及其工作人员、参保人发生违法违规行为造成基金损失的，属于法律法规和规章规定范畴的，依法给予行政处罚。构成犯罪的，由医疗保障行政部门移送司法机关依法追究刑事责任。定点评估机构违反协议的，由医疗保障经办机构按协议约定处理。</w:t>
      </w:r>
    </w:p>
    <w:p w14:paraId="7EFE0AB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 xml:space="preserve">第三十五条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医疗保障经办机构对协议履行、工作质量等情况定期开展考核评价，考核结果与评估服务协议续签、服务费用支付等挂钩。</w:t>
      </w:r>
    </w:p>
    <w:p w14:paraId="1546193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highlight w:val="none"/>
          <w:lang w:val="en-US" w:eastAsia="zh-CN"/>
        </w:rPr>
      </w:pPr>
      <w:r>
        <w:rPr>
          <w:rFonts w:hint="eastAsia" w:ascii="仿宋_GB2312" w:hAnsi="仿宋_GB2312" w:eastAsia="仿宋_GB2312" w:cs="仿宋_GB2312"/>
          <w:b/>
          <w:bCs/>
          <w:highlight w:val="none"/>
          <w:lang w:val="en-US" w:eastAsia="zh-CN"/>
        </w:rPr>
        <w:t xml:space="preserve">第三十六条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highlight w:val="none"/>
          <w:lang w:val="en-US" w:eastAsia="zh-CN"/>
        </w:rPr>
        <w:t>鼓励和支持定点评估机构加强行业自律，规范评估行为，促进行业规范和自我约束，引导评估行业健康有序发展。</w:t>
      </w:r>
    </w:p>
    <w:p w14:paraId="21873A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highlight w:val="none"/>
          <w:lang w:val="en-US" w:eastAsia="zh-CN"/>
        </w:rPr>
      </w:pPr>
    </w:p>
    <w:p w14:paraId="1928A704">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eastAsia" w:ascii="黑体" w:hAnsi="黑体" w:eastAsia="黑体" w:cs="黑体"/>
          <w:highlight w:val="none"/>
          <w:lang w:val="en-US" w:eastAsia="zh-CN"/>
        </w:rPr>
      </w:pPr>
      <w:r>
        <w:rPr>
          <w:rFonts w:hint="eastAsia" w:ascii="黑体" w:hAnsi="黑体" w:eastAsia="黑体" w:cs="黑体"/>
          <w:highlight w:val="none"/>
          <w:lang w:val="en-US" w:eastAsia="zh-CN"/>
        </w:rPr>
        <w:t>第七章 附则</w:t>
      </w:r>
    </w:p>
    <w:p w14:paraId="77DEE36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第三十七条</w:t>
      </w:r>
      <w:r>
        <w:rPr>
          <w:rFonts w:hint="eastAsia" w:ascii="仿宋_GB2312" w:hAnsi="仿宋_GB2312" w:eastAsia="仿宋_GB2312" w:cs="仿宋_GB2312"/>
          <w:b w:val="0"/>
          <w:bCs w:val="0"/>
          <w:highlight w:val="none"/>
          <w:lang w:val="en-US" w:eastAsia="zh-CN"/>
        </w:rPr>
        <w:t xml:space="preserve"> </w:t>
      </w:r>
      <w:r>
        <w:rPr>
          <w:rFonts w:hint="eastAsia" w:ascii="仿宋_GB2312" w:hAnsi="仿宋_GB2312" w:cs="仿宋_GB2312"/>
          <w:b w:val="0"/>
          <w:bCs w:val="0"/>
          <w:highlight w:val="none"/>
          <w:lang w:val="en-US" w:eastAsia="zh-CN"/>
        </w:rPr>
        <w:t xml:space="preserve"> </w:t>
      </w:r>
      <w:r>
        <w:rPr>
          <w:rFonts w:hint="eastAsia" w:ascii="仿宋_GB2312" w:hAnsi="仿宋_GB2312" w:eastAsia="仿宋_GB2312" w:cs="仿宋_GB2312"/>
          <w:b w:val="0"/>
          <w:bCs w:val="0"/>
          <w:highlight w:val="none"/>
          <w:lang w:val="en-US" w:eastAsia="zh-CN"/>
        </w:rPr>
        <w:t>定点评估机构应按规定接入并使用国家医疗保障信息平台长期护理保险相关功能模块，实现评估申请、受理、实施、结论反馈等全过程信息化管理。鼓励定点评估机构运用信息化、智能化手段，推动评估工作规范化、标准化。</w:t>
      </w:r>
    </w:p>
    <w:p w14:paraId="732A0FF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 xml:space="preserve">第三十八条 </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依托医疗机构、养老机构、劳动能力鉴定机构等内设部门开展评估工作的，对该部门及其所属机构的管理，参照本实施细则执行。</w:t>
      </w:r>
    </w:p>
    <w:p w14:paraId="215CC95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highlight w:val="none"/>
          <w:lang w:val="en-US" w:eastAsia="zh-CN"/>
        </w:rPr>
      </w:pPr>
      <w:r>
        <w:rPr>
          <w:rFonts w:hint="eastAsia" w:ascii="仿宋_GB2312" w:hAnsi="仿宋_GB2312" w:eastAsia="仿宋_GB2312" w:cs="仿宋_GB2312"/>
          <w:b/>
          <w:bCs/>
          <w:highlight w:val="none"/>
          <w:lang w:val="en-US" w:eastAsia="zh-CN"/>
        </w:rPr>
        <w:t>第三十九条</w:t>
      </w:r>
      <w:r>
        <w:rPr>
          <w:rFonts w:hint="eastAsia" w:ascii="仿宋_GB2312" w:hAnsi="仿宋_GB2312" w:cs="仿宋_GB2312"/>
          <w:b/>
          <w:bCs/>
          <w:highlight w:val="none"/>
          <w:lang w:val="en-US" w:eastAsia="zh-CN"/>
        </w:rPr>
        <w:t xml:space="preserve">  </w:t>
      </w:r>
      <w:r>
        <w:rPr>
          <w:rFonts w:hint="eastAsia" w:ascii="仿宋_GB2312" w:hAnsi="仿宋_GB2312" w:eastAsia="仿宋_GB2312" w:cs="仿宋_GB2312"/>
          <w:b w:val="0"/>
          <w:bCs w:val="0"/>
          <w:highlight w:val="none"/>
          <w:lang w:val="en-US" w:eastAsia="zh-CN"/>
        </w:rPr>
        <w:t>本实施细则由赣州市医疗保障局负责解释，自2026年10月1日起施行，试行期2年。以往规定与本实施细则不一致的，以本实施细则为准。国家、省、市有新规定的，从其规定。</w:t>
      </w:r>
    </w:p>
    <w:p w14:paraId="3319AA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p>
    <w:p w14:paraId="503FD1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p>
    <w:p w14:paraId="490882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kern w:val="0"/>
          <w:sz w:val="32"/>
          <w:szCs w:val="32"/>
          <w:highlight w:val="none"/>
          <w:shd w:val="clear" w:color="auto" w:fill="FFFFFF"/>
          <w:lang w:val="en-US" w:eastAsia="zh-CN" w:bidi="ar"/>
        </w:rPr>
      </w:pPr>
      <w:r>
        <w:rPr>
          <w:rFonts w:hint="eastAsia" w:ascii="仿宋_GB2312" w:hAnsi="仿宋_GB2312" w:cs="仿宋_GB2312"/>
          <w:b w:val="0"/>
          <w:bCs w:val="0"/>
          <w:highlight w:val="none"/>
          <w:lang w:val="en-US" w:eastAsia="zh-CN"/>
        </w:rPr>
        <w:t>附件：</w:t>
      </w:r>
      <w:r>
        <w:rPr>
          <w:rFonts w:hint="eastAsia" w:ascii="仿宋_GB2312" w:hAnsi="仿宋_GB2312" w:eastAsia="仿宋_GB2312" w:cs="仿宋_GB2312"/>
          <w:color w:val="auto"/>
          <w:kern w:val="0"/>
          <w:sz w:val="32"/>
          <w:szCs w:val="32"/>
          <w:highlight w:val="none"/>
          <w:shd w:val="clear" w:color="auto" w:fill="FFFFFF"/>
          <w:lang w:val="en-US" w:eastAsia="zh-CN" w:bidi="ar"/>
        </w:rPr>
        <w:t>1.长期护理保险失能等级自评表</w:t>
      </w:r>
    </w:p>
    <w:p w14:paraId="211739CC">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color w:val="auto"/>
          <w:kern w:val="0"/>
          <w:sz w:val="32"/>
          <w:szCs w:val="32"/>
          <w:highlight w:val="none"/>
          <w:shd w:val="clear" w:color="auto" w:fill="FFFFFF"/>
          <w:lang w:val="en-US" w:eastAsia="zh-CN" w:bidi="ar"/>
        </w:rPr>
      </w:pPr>
      <w:r>
        <w:rPr>
          <w:rFonts w:hint="eastAsia" w:ascii="仿宋_GB2312" w:hAnsi="仿宋_GB2312" w:eastAsia="仿宋_GB2312" w:cs="仿宋_GB2312"/>
          <w:color w:val="auto"/>
          <w:kern w:val="0"/>
          <w:sz w:val="32"/>
          <w:szCs w:val="32"/>
          <w:highlight w:val="none"/>
          <w:shd w:val="clear" w:color="auto" w:fill="FFFFFF"/>
          <w:lang w:val="en-US" w:eastAsia="zh-CN" w:bidi="ar"/>
        </w:rPr>
        <w:t>2.长期护理保险失能等级评估申请表</w:t>
      </w:r>
    </w:p>
    <w:p w14:paraId="30A1CEF5">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color w:val="auto"/>
          <w:kern w:val="0"/>
          <w:sz w:val="32"/>
          <w:szCs w:val="32"/>
          <w:highlight w:val="none"/>
          <w:shd w:val="clear" w:color="auto" w:fill="FFFFFF"/>
          <w:lang w:val="en-US" w:eastAsia="zh-CN" w:bidi="ar"/>
        </w:rPr>
      </w:pPr>
      <w:r>
        <w:rPr>
          <w:rFonts w:hint="eastAsia" w:ascii="仿宋_GB2312" w:hAnsi="仿宋_GB2312" w:eastAsia="仿宋_GB2312" w:cs="仿宋_GB2312"/>
          <w:color w:val="auto"/>
          <w:kern w:val="0"/>
          <w:sz w:val="32"/>
          <w:szCs w:val="32"/>
          <w:highlight w:val="none"/>
          <w:shd w:val="clear" w:color="auto" w:fill="FFFFFF"/>
          <w:lang w:val="en-US" w:eastAsia="zh-CN" w:bidi="ar"/>
        </w:rPr>
        <w:t>3.长期护理保险失能等级评估结论书</w:t>
      </w:r>
    </w:p>
    <w:p w14:paraId="100D09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highlight w:val="none"/>
          <w:lang w:val="en-US" w:eastAsia="zh-CN"/>
        </w:rPr>
      </w:pPr>
    </w:p>
    <w:p w14:paraId="2E8FE061">
      <w:pPr>
        <w:rPr>
          <w:rFonts w:hint="eastAsia" w:ascii="黑体" w:hAnsi="黑体" w:eastAsia="黑体" w:cs="黑体"/>
          <w:b w:val="0"/>
          <w:bCs w:val="0"/>
          <w:sz w:val="32"/>
          <w:szCs w:val="32"/>
          <w:highlight w:val="none"/>
        </w:rPr>
      </w:pPr>
      <w:r>
        <w:rPr>
          <w:rFonts w:hint="eastAsia" w:ascii="黑体" w:hAnsi="黑体" w:eastAsia="黑体" w:cs="黑体"/>
          <w:b w:val="0"/>
          <w:bCs w:val="0"/>
          <w:sz w:val="32"/>
          <w:szCs w:val="32"/>
          <w:highlight w:val="none"/>
        </w:rPr>
        <w:br w:type="page"/>
      </w:r>
    </w:p>
    <w:p w14:paraId="14B35B30">
      <w:pPr>
        <w:spacing w:line="560" w:lineRule="exact"/>
        <w:jc w:val="left"/>
        <w:rPr>
          <w:rFonts w:hint="eastAsia" w:ascii="黑体" w:hAnsi="黑体" w:eastAsia="黑体" w:cs="黑体"/>
          <w:b w:val="0"/>
          <w:bCs w:val="0"/>
          <w:color w:val="000000"/>
          <w:sz w:val="32"/>
          <w:szCs w:val="32"/>
          <w:highlight w:val="none"/>
          <w:lang w:eastAsia="zh-CN"/>
        </w:rPr>
      </w:pPr>
      <w:r>
        <w:rPr>
          <w:rFonts w:hint="eastAsia" w:ascii="黑体" w:hAnsi="黑体" w:eastAsia="黑体" w:cs="黑体"/>
          <w:b w:val="0"/>
          <w:bCs w:val="0"/>
          <w:sz w:val="32"/>
          <w:szCs w:val="32"/>
          <w:highlight w:val="none"/>
        </w:rPr>
        <w:t>附件</w:t>
      </w:r>
      <w:r>
        <w:rPr>
          <w:rFonts w:hint="eastAsia" w:ascii="黑体" w:hAnsi="黑体" w:eastAsia="黑体" w:cs="黑体"/>
          <w:b w:val="0"/>
          <w:bCs w:val="0"/>
          <w:sz w:val="32"/>
          <w:szCs w:val="32"/>
          <w:highlight w:val="none"/>
          <w:lang w:val="en-US" w:eastAsia="zh-CN"/>
        </w:rPr>
        <w:t>1</w:t>
      </w:r>
    </w:p>
    <w:p w14:paraId="042C488E">
      <w:pPr>
        <w:spacing w:line="600" w:lineRule="exact"/>
        <w:jc w:val="center"/>
        <w:outlineLvl w:val="0"/>
        <w:rPr>
          <w:rFonts w:hint="eastAsia" w:ascii="方正小标宋简体" w:eastAsia="方正小标宋简体"/>
          <w:color w:val="000000"/>
          <w:sz w:val="44"/>
          <w:szCs w:val="44"/>
          <w:highlight w:val="none"/>
        </w:rPr>
      </w:pPr>
      <w:r>
        <w:rPr>
          <w:rFonts w:hint="eastAsia" w:ascii="方正小标宋简体" w:eastAsia="方正小标宋简体"/>
          <w:color w:val="000000"/>
          <w:sz w:val="44"/>
          <w:szCs w:val="44"/>
          <w:highlight w:val="none"/>
          <w:lang w:eastAsia="zh-CN"/>
        </w:rPr>
        <w:t>赣州市</w:t>
      </w:r>
      <w:r>
        <w:rPr>
          <w:rFonts w:hint="eastAsia" w:ascii="方正小标宋简体" w:eastAsia="方正小标宋简体"/>
          <w:color w:val="000000"/>
          <w:sz w:val="44"/>
          <w:szCs w:val="44"/>
          <w:highlight w:val="none"/>
        </w:rPr>
        <w:t>长期护理保险失能等级自评表</w:t>
      </w:r>
    </w:p>
    <w:tbl>
      <w:tblPr>
        <w:tblStyle w:val="5"/>
        <w:tblW w:w="987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891"/>
        <w:gridCol w:w="2781"/>
        <w:gridCol w:w="2592"/>
        <w:gridCol w:w="2591"/>
        <w:gridCol w:w="1015"/>
      </w:tblGrid>
      <w:tr w14:paraId="14061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8" w:hRule="atLeast"/>
          <w:jc w:val="center"/>
        </w:trPr>
        <w:tc>
          <w:tcPr>
            <w:tcW w:w="891" w:type="dxa"/>
            <w:tcBorders>
              <w:top w:val="single" w:color="000000" w:sz="8" w:space="0"/>
              <w:left w:val="single" w:color="000000" w:sz="8" w:space="0"/>
              <w:bottom w:val="single" w:color="000000" w:sz="4" w:space="0"/>
              <w:right w:val="single" w:color="000000" w:sz="4" w:space="0"/>
            </w:tcBorders>
            <w:noWrap w:val="0"/>
            <w:vAlign w:val="center"/>
          </w:tcPr>
          <w:p w14:paraId="11DB2006">
            <w:pPr>
              <w:pStyle w:val="9"/>
              <w:autoSpaceDE w:val="0"/>
              <w:autoSpaceDN w:val="0"/>
              <w:spacing w:line="24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项目</w:t>
            </w:r>
          </w:p>
        </w:tc>
        <w:tc>
          <w:tcPr>
            <w:tcW w:w="2781" w:type="dxa"/>
            <w:tcBorders>
              <w:top w:val="single" w:color="000000" w:sz="8" w:space="0"/>
              <w:left w:val="nil"/>
              <w:bottom w:val="single" w:color="000000" w:sz="4" w:space="0"/>
              <w:right w:val="single" w:color="000000" w:sz="4" w:space="0"/>
            </w:tcBorders>
            <w:noWrap w:val="0"/>
            <w:vAlign w:val="center"/>
          </w:tcPr>
          <w:p w14:paraId="00DF3E2E">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独立</w:t>
            </w:r>
            <w:r>
              <w:rPr>
                <w:rFonts w:hint="eastAsia" w:ascii="仿宋_GB2312" w:hAnsi="仿宋_GB2312" w:eastAsia="仿宋_GB2312" w:cs="仿宋_GB2312"/>
                <w:b/>
                <w:bCs/>
                <w:sz w:val="24"/>
                <w:szCs w:val="24"/>
                <w:highlight w:val="none"/>
                <w:lang w:eastAsia="zh-CN"/>
              </w:rPr>
              <w:t>（</w:t>
            </w:r>
            <w:r>
              <w:rPr>
                <w:rFonts w:hint="eastAsia" w:ascii="仿宋_GB2312" w:hAnsi="仿宋_GB2312" w:eastAsia="仿宋_GB2312" w:cs="仿宋_GB2312"/>
                <w:b/>
                <w:bCs/>
                <w:sz w:val="24"/>
                <w:szCs w:val="24"/>
                <w:highlight w:val="none"/>
              </w:rPr>
              <w:t>2</w:t>
            </w:r>
            <w:r>
              <w:rPr>
                <w:rFonts w:hint="eastAsia" w:ascii="仿宋_GB2312" w:hAnsi="仿宋_GB2312" w:eastAsia="仿宋_GB2312" w:cs="仿宋_GB2312"/>
                <w:b/>
                <w:bCs/>
                <w:sz w:val="24"/>
                <w:szCs w:val="24"/>
                <w:highlight w:val="none"/>
                <w:lang w:eastAsia="zh-CN"/>
              </w:rPr>
              <w:t>）</w:t>
            </w:r>
          </w:p>
        </w:tc>
        <w:tc>
          <w:tcPr>
            <w:tcW w:w="2592" w:type="dxa"/>
            <w:tcBorders>
              <w:top w:val="single" w:color="000000" w:sz="8" w:space="0"/>
              <w:left w:val="nil"/>
              <w:bottom w:val="single" w:color="000000" w:sz="4" w:space="0"/>
              <w:right w:val="single" w:color="000000" w:sz="4" w:space="0"/>
            </w:tcBorders>
            <w:noWrap w:val="0"/>
            <w:vAlign w:val="center"/>
          </w:tcPr>
          <w:p w14:paraId="03B37631">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部分独立</w:t>
            </w:r>
            <w:r>
              <w:rPr>
                <w:rFonts w:hint="eastAsia" w:ascii="仿宋_GB2312" w:hAnsi="仿宋_GB2312" w:eastAsia="仿宋_GB2312" w:cs="仿宋_GB2312"/>
                <w:b/>
                <w:bCs/>
                <w:sz w:val="24"/>
                <w:szCs w:val="24"/>
                <w:highlight w:val="none"/>
                <w:lang w:eastAsia="zh-CN"/>
              </w:rPr>
              <w:t>（</w:t>
            </w:r>
            <w:r>
              <w:rPr>
                <w:rFonts w:hint="eastAsia" w:ascii="仿宋_GB2312" w:hAnsi="仿宋_GB2312" w:eastAsia="仿宋_GB2312" w:cs="仿宋_GB2312"/>
                <w:b/>
                <w:bCs/>
                <w:sz w:val="24"/>
                <w:szCs w:val="24"/>
                <w:highlight w:val="none"/>
              </w:rPr>
              <w:t>1</w:t>
            </w:r>
            <w:r>
              <w:rPr>
                <w:rFonts w:hint="eastAsia" w:ascii="仿宋_GB2312" w:hAnsi="仿宋_GB2312" w:eastAsia="仿宋_GB2312" w:cs="仿宋_GB2312"/>
                <w:b/>
                <w:bCs/>
                <w:sz w:val="24"/>
                <w:szCs w:val="24"/>
                <w:highlight w:val="none"/>
                <w:lang w:eastAsia="zh-CN"/>
              </w:rPr>
              <w:t>）</w:t>
            </w:r>
          </w:p>
          <w:p w14:paraId="6DEED2FE">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（需要帮助）</w:t>
            </w:r>
          </w:p>
        </w:tc>
        <w:tc>
          <w:tcPr>
            <w:tcW w:w="2591" w:type="dxa"/>
            <w:tcBorders>
              <w:top w:val="single" w:color="000000" w:sz="8" w:space="0"/>
              <w:left w:val="nil"/>
              <w:bottom w:val="single" w:color="000000" w:sz="4" w:space="0"/>
              <w:right w:val="single" w:color="000000" w:sz="4" w:space="0"/>
            </w:tcBorders>
            <w:noWrap w:val="0"/>
            <w:vAlign w:val="center"/>
          </w:tcPr>
          <w:p w14:paraId="19991CEF">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依赖</w:t>
            </w:r>
            <w:r>
              <w:rPr>
                <w:rFonts w:hint="eastAsia" w:ascii="仿宋_GB2312" w:hAnsi="仿宋_GB2312" w:eastAsia="仿宋_GB2312" w:cs="仿宋_GB2312"/>
                <w:b/>
                <w:bCs/>
                <w:sz w:val="24"/>
                <w:szCs w:val="24"/>
                <w:highlight w:val="none"/>
                <w:lang w:eastAsia="zh-CN"/>
              </w:rPr>
              <w:t>（</w:t>
            </w:r>
            <w:r>
              <w:rPr>
                <w:rFonts w:hint="eastAsia" w:ascii="仿宋_GB2312" w:hAnsi="仿宋_GB2312" w:eastAsia="仿宋_GB2312" w:cs="仿宋_GB2312"/>
                <w:b/>
                <w:bCs/>
                <w:sz w:val="24"/>
                <w:szCs w:val="24"/>
                <w:highlight w:val="none"/>
              </w:rPr>
              <w:t>0</w:t>
            </w:r>
            <w:r>
              <w:rPr>
                <w:rFonts w:hint="eastAsia" w:ascii="仿宋_GB2312" w:hAnsi="仿宋_GB2312" w:eastAsia="仿宋_GB2312" w:cs="仿宋_GB2312"/>
                <w:b/>
                <w:bCs/>
                <w:sz w:val="24"/>
                <w:szCs w:val="24"/>
                <w:highlight w:val="none"/>
                <w:lang w:eastAsia="zh-CN"/>
              </w:rPr>
              <w:t>）</w:t>
            </w:r>
          </w:p>
        </w:tc>
        <w:tc>
          <w:tcPr>
            <w:tcW w:w="1015" w:type="dxa"/>
            <w:tcBorders>
              <w:top w:val="single" w:color="000000" w:sz="8" w:space="0"/>
              <w:left w:val="nil"/>
              <w:bottom w:val="single" w:color="000000" w:sz="4" w:space="0"/>
              <w:right w:val="single" w:color="000000" w:sz="8" w:space="0"/>
            </w:tcBorders>
            <w:noWrap w:val="0"/>
            <w:vAlign w:val="center"/>
          </w:tcPr>
          <w:p w14:paraId="78E793DE">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选项</w:t>
            </w:r>
          </w:p>
        </w:tc>
      </w:tr>
      <w:tr w14:paraId="0C07B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43" w:hRule="atLeast"/>
          <w:jc w:val="center"/>
        </w:trPr>
        <w:tc>
          <w:tcPr>
            <w:tcW w:w="891" w:type="dxa"/>
            <w:tcBorders>
              <w:top w:val="single" w:color="000000" w:sz="4" w:space="0"/>
              <w:left w:val="single" w:color="000000" w:sz="8" w:space="0"/>
              <w:bottom w:val="single" w:color="000000" w:sz="4" w:space="0"/>
              <w:right w:val="single" w:color="000000" w:sz="4" w:space="0"/>
            </w:tcBorders>
            <w:noWrap w:val="0"/>
            <w:vAlign w:val="center"/>
          </w:tcPr>
          <w:p w14:paraId="618A0986">
            <w:pPr>
              <w:pStyle w:val="9"/>
              <w:autoSpaceDE w:val="0"/>
              <w:autoSpaceDN w:val="0"/>
              <w:spacing w:line="24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进食</w:t>
            </w:r>
          </w:p>
        </w:tc>
        <w:tc>
          <w:tcPr>
            <w:tcW w:w="2781" w:type="dxa"/>
            <w:tcBorders>
              <w:top w:val="single" w:color="000000" w:sz="4" w:space="0"/>
              <w:left w:val="nil"/>
              <w:bottom w:val="single" w:color="000000" w:sz="4" w:space="0"/>
              <w:right w:val="single" w:color="000000" w:sz="4" w:space="0"/>
            </w:tcBorders>
            <w:noWrap w:val="0"/>
            <w:vAlign w:val="center"/>
          </w:tcPr>
          <w:p w14:paraId="15F12348">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独立</w:t>
            </w:r>
          </w:p>
          <w:p w14:paraId="4E2D07FE">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无需</w:t>
            </w:r>
            <w:r>
              <w:rPr>
                <w:rFonts w:hint="eastAsia" w:ascii="仿宋_GB2312" w:hAnsi="仿宋_GB2312" w:eastAsia="仿宋_GB2312" w:cs="仿宋_GB2312"/>
                <w:sz w:val="24"/>
                <w:szCs w:val="24"/>
                <w:highlight w:val="none"/>
              </w:rPr>
              <w:t>帮助</w:t>
            </w:r>
          </w:p>
        </w:tc>
        <w:tc>
          <w:tcPr>
            <w:tcW w:w="2592" w:type="dxa"/>
            <w:tcBorders>
              <w:top w:val="single" w:color="000000" w:sz="4" w:space="0"/>
              <w:left w:val="nil"/>
              <w:bottom w:val="single" w:color="000000" w:sz="4" w:space="0"/>
              <w:right w:val="single" w:color="000000" w:sz="4" w:space="0"/>
            </w:tcBorders>
            <w:noWrap w:val="0"/>
            <w:vAlign w:val="center"/>
          </w:tcPr>
          <w:p w14:paraId="0A722956">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部分独立</w:t>
            </w:r>
          </w:p>
          <w:p w14:paraId="6F9D6541">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自己能吃，但需辅助</w:t>
            </w:r>
          </w:p>
        </w:tc>
        <w:tc>
          <w:tcPr>
            <w:tcW w:w="2591" w:type="dxa"/>
            <w:tcBorders>
              <w:top w:val="single" w:color="000000" w:sz="4" w:space="0"/>
              <w:left w:val="nil"/>
              <w:bottom w:val="single" w:color="000000" w:sz="4" w:space="0"/>
              <w:right w:val="single" w:color="000000" w:sz="4" w:space="0"/>
            </w:tcBorders>
            <w:noWrap w:val="0"/>
            <w:vAlign w:val="center"/>
          </w:tcPr>
          <w:p w14:paraId="14A92415">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3"/>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不能独立完成</w:t>
            </w:r>
          </w:p>
          <w:p w14:paraId="0F541CE4">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3"/>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pacing w:val="-3"/>
                <w:sz w:val="24"/>
                <w:szCs w:val="24"/>
                <w:highlight w:val="none"/>
              </w:rPr>
              <w:t>部分或全部靠喂</w:t>
            </w:r>
          </w:p>
          <w:p w14:paraId="54B3BFF5">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食或鼻饲</w:t>
            </w:r>
          </w:p>
        </w:tc>
        <w:tc>
          <w:tcPr>
            <w:tcW w:w="1015" w:type="dxa"/>
            <w:tcBorders>
              <w:top w:val="single" w:color="000000" w:sz="4" w:space="0"/>
              <w:left w:val="nil"/>
              <w:bottom w:val="single" w:color="000000" w:sz="4" w:space="0"/>
              <w:right w:val="single" w:color="000000" w:sz="8" w:space="0"/>
            </w:tcBorders>
            <w:noWrap w:val="0"/>
            <w:vAlign w:val="center"/>
          </w:tcPr>
          <w:p w14:paraId="247A0102">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textAlignment w:val="auto"/>
              <w:rPr>
                <w:rFonts w:hint="eastAsia" w:ascii="仿宋_GB2312" w:hAnsi="仿宋_GB2312" w:eastAsia="仿宋_GB2312" w:cs="仿宋_GB2312"/>
                <w:sz w:val="24"/>
                <w:szCs w:val="24"/>
                <w:highlight w:val="none"/>
              </w:rPr>
            </w:pPr>
          </w:p>
        </w:tc>
      </w:tr>
      <w:tr w14:paraId="1BA3E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31" w:hRule="atLeast"/>
          <w:jc w:val="center"/>
        </w:trPr>
        <w:tc>
          <w:tcPr>
            <w:tcW w:w="891" w:type="dxa"/>
            <w:tcBorders>
              <w:top w:val="single" w:color="000000" w:sz="4" w:space="0"/>
              <w:left w:val="single" w:color="000000" w:sz="8" w:space="0"/>
              <w:bottom w:val="single" w:color="000000" w:sz="4" w:space="0"/>
              <w:right w:val="single" w:color="000000" w:sz="4" w:space="0"/>
            </w:tcBorders>
            <w:noWrap w:val="0"/>
            <w:vAlign w:val="center"/>
          </w:tcPr>
          <w:p w14:paraId="08F8AE9B">
            <w:pPr>
              <w:pStyle w:val="9"/>
              <w:autoSpaceDE w:val="0"/>
              <w:autoSpaceDN w:val="0"/>
              <w:spacing w:line="24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穿衣</w:t>
            </w:r>
          </w:p>
        </w:tc>
        <w:tc>
          <w:tcPr>
            <w:tcW w:w="2781" w:type="dxa"/>
            <w:tcBorders>
              <w:top w:val="single" w:color="000000" w:sz="4" w:space="0"/>
              <w:left w:val="nil"/>
              <w:bottom w:val="single" w:color="000000" w:sz="4" w:space="0"/>
              <w:right w:val="single" w:color="000000" w:sz="4" w:space="0"/>
            </w:tcBorders>
            <w:noWrap w:val="0"/>
            <w:vAlign w:val="center"/>
          </w:tcPr>
          <w:p w14:paraId="51B2A51E">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独立，</w:t>
            </w:r>
            <w:r>
              <w:rPr>
                <w:rFonts w:hint="eastAsia" w:ascii="仿宋_GB2312" w:hAnsi="仿宋_GB2312" w:eastAsia="仿宋_GB2312" w:cs="仿宋_GB2312"/>
                <w:sz w:val="24"/>
                <w:szCs w:val="24"/>
                <w:highlight w:val="none"/>
                <w:lang w:eastAsia="zh-CN"/>
              </w:rPr>
              <w:t>无需帮助</w:t>
            </w:r>
          </w:p>
          <w:p w14:paraId="4BB25418">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1"/>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能独立拿取衣服，穿上并扣好</w:t>
            </w:r>
          </w:p>
        </w:tc>
        <w:tc>
          <w:tcPr>
            <w:tcW w:w="2592" w:type="dxa"/>
            <w:tcBorders>
              <w:top w:val="single" w:color="000000" w:sz="4" w:space="0"/>
              <w:left w:val="nil"/>
              <w:bottom w:val="single" w:color="000000" w:sz="4" w:space="0"/>
              <w:right w:val="single" w:color="000000" w:sz="4" w:space="0"/>
            </w:tcBorders>
            <w:noWrap w:val="0"/>
            <w:vAlign w:val="center"/>
          </w:tcPr>
          <w:p w14:paraId="1FA7959D">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部分独立</w:t>
            </w:r>
          </w:p>
          <w:p w14:paraId="08C8D9F4">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2"/>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能独立拿取衣服及穿上，需帮助系鞋带</w:t>
            </w:r>
          </w:p>
        </w:tc>
        <w:tc>
          <w:tcPr>
            <w:tcW w:w="2591" w:type="dxa"/>
            <w:tcBorders>
              <w:top w:val="single" w:color="000000" w:sz="4" w:space="0"/>
              <w:left w:val="nil"/>
              <w:bottom w:val="single" w:color="000000" w:sz="4" w:space="0"/>
              <w:right w:val="single" w:color="000000" w:sz="4" w:space="0"/>
            </w:tcBorders>
            <w:noWrap w:val="0"/>
            <w:vAlign w:val="center"/>
          </w:tcPr>
          <w:p w14:paraId="37C8E34A">
            <w:pPr>
              <w:pStyle w:val="9"/>
              <w:keepNext w:val="0"/>
              <w:keepLines w:val="0"/>
              <w:pageBreakBefore w:val="0"/>
              <w:widowControl w:val="0"/>
              <w:kinsoku/>
              <w:wordWrap/>
              <w:overflowPunct/>
              <w:topLinePunct w:val="0"/>
              <w:autoSpaceDE w:val="0"/>
              <w:autoSpaceDN w:val="0"/>
              <w:bidi w:val="0"/>
              <w:spacing w:line="300" w:lineRule="exact"/>
              <w:ind w:left="167" w:leftChars="50" w:right="160" w:rightChars="50" w:hanging="7"/>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不能独立完成</w:t>
            </w:r>
          </w:p>
          <w:p w14:paraId="3DA19ABB">
            <w:pPr>
              <w:pStyle w:val="9"/>
              <w:keepNext w:val="0"/>
              <w:keepLines w:val="0"/>
              <w:pageBreakBefore w:val="0"/>
              <w:widowControl w:val="0"/>
              <w:kinsoku/>
              <w:wordWrap/>
              <w:overflowPunct/>
              <w:topLinePunct w:val="0"/>
              <w:autoSpaceDE w:val="0"/>
              <w:autoSpaceDN w:val="0"/>
              <w:bidi w:val="0"/>
              <w:spacing w:line="300" w:lineRule="exact"/>
              <w:ind w:left="167" w:leftChars="50" w:right="160" w:rightChars="50" w:hanging="7"/>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pacing w:val="-2"/>
                <w:sz w:val="24"/>
                <w:szCs w:val="24"/>
                <w:highlight w:val="none"/>
              </w:rPr>
              <w:t>完全不能穿，要靠他人拿衣穿衣</w:t>
            </w:r>
            <w:r>
              <w:rPr>
                <w:rFonts w:hint="eastAsia" w:ascii="仿宋_GB2312" w:hAnsi="仿宋_GB2312" w:eastAsia="仿宋_GB2312" w:cs="仿宋_GB2312"/>
                <w:sz w:val="24"/>
                <w:szCs w:val="24"/>
                <w:highlight w:val="none"/>
              </w:rPr>
              <w:t>或自己穿上部分</w:t>
            </w:r>
          </w:p>
        </w:tc>
        <w:tc>
          <w:tcPr>
            <w:tcW w:w="1015" w:type="dxa"/>
            <w:tcBorders>
              <w:top w:val="single" w:color="000000" w:sz="4" w:space="0"/>
              <w:left w:val="nil"/>
              <w:bottom w:val="single" w:color="000000" w:sz="4" w:space="0"/>
              <w:right w:val="single" w:color="000000" w:sz="8" w:space="0"/>
            </w:tcBorders>
            <w:noWrap w:val="0"/>
            <w:vAlign w:val="top"/>
          </w:tcPr>
          <w:p w14:paraId="10F6D7B7">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textAlignment w:val="auto"/>
              <w:rPr>
                <w:rFonts w:hint="eastAsia" w:ascii="仿宋_GB2312" w:hAnsi="仿宋_GB2312" w:eastAsia="仿宋_GB2312" w:cs="仿宋_GB2312"/>
                <w:sz w:val="24"/>
                <w:szCs w:val="24"/>
                <w:highlight w:val="none"/>
              </w:rPr>
            </w:pPr>
          </w:p>
        </w:tc>
      </w:tr>
      <w:tr w14:paraId="22924A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26" w:hRule="atLeast"/>
          <w:jc w:val="center"/>
        </w:trPr>
        <w:tc>
          <w:tcPr>
            <w:tcW w:w="891" w:type="dxa"/>
            <w:tcBorders>
              <w:top w:val="single" w:color="000000" w:sz="4" w:space="0"/>
              <w:left w:val="single" w:color="000000" w:sz="8" w:space="0"/>
              <w:bottom w:val="single" w:color="000000" w:sz="4" w:space="0"/>
              <w:right w:val="single" w:color="000000" w:sz="4" w:space="0"/>
            </w:tcBorders>
            <w:noWrap w:val="0"/>
            <w:vAlign w:val="center"/>
          </w:tcPr>
          <w:p w14:paraId="57ECCD57">
            <w:pPr>
              <w:pStyle w:val="9"/>
              <w:autoSpaceDE w:val="0"/>
              <w:autoSpaceDN w:val="0"/>
              <w:spacing w:line="240" w:lineRule="exact"/>
              <w:ind w:hanging="120"/>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大小便</w:t>
            </w:r>
          </w:p>
          <w:p w14:paraId="497544E6">
            <w:pPr>
              <w:pStyle w:val="9"/>
              <w:autoSpaceDE w:val="0"/>
              <w:autoSpaceDN w:val="0"/>
              <w:spacing w:line="240" w:lineRule="exact"/>
              <w:ind w:hanging="120"/>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控制</w:t>
            </w:r>
          </w:p>
        </w:tc>
        <w:tc>
          <w:tcPr>
            <w:tcW w:w="2781" w:type="dxa"/>
            <w:tcBorders>
              <w:top w:val="single" w:color="000000" w:sz="4" w:space="0"/>
              <w:left w:val="nil"/>
              <w:bottom w:val="single" w:color="000000" w:sz="4" w:space="0"/>
              <w:right w:val="single" w:color="000000" w:sz="4" w:space="0"/>
            </w:tcBorders>
            <w:noWrap w:val="0"/>
            <w:vAlign w:val="center"/>
          </w:tcPr>
          <w:p w14:paraId="23120DC0">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独立</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自己能够完全控制</w:t>
            </w:r>
          </w:p>
        </w:tc>
        <w:tc>
          <w:tcPr>
            <w:tcW w:w="2592" w:type="dxa"/>
            <w:tcBorders>
              <w:top w:val="single" w:color="000000" w:sz="4" w:space="0"/>
              <w:left w:val="nil"/>
              <w:bottom w:val="single" w:color="000000" w:sz="4" w:space="0"/>
              <w:right w:val="single" w:color="000000" w:sz="4" w:space="0"/>
            </w:tcBorders>
            <w:noWrap w:val="0"/>
            <w:vAlign w:val="center"/>
          </w:tcPr>
          <w:p w14:paraId="08F99DB4">
            <w:pPr>
              <w:pStyle w:val="9"/>
              <w:keepNext w:val="0"/>
              <w:keepLines w:val="0"/>
              <w:pageBreakBefore w:val="0"/>
              <w:widowControl w:val="0"/>
              <w:kinsoku/>
              <w:wordWrap/>
              <w:overflowPunct/>
              <w:topLinePunct w:val="0"/>
              <w:autoSpaceDE w:val="0"/>
              <w:autoSpaceDN w:val="0"/>
              <w:bidi w:val="0"/>
              <w:spacing w:line="300" w:lineRule="exact"/>
              <w:ind w:left="162" w:leftChars="50" w:right="160" w:rightChars="50" w:hanging="2"/>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部分独立偶尔失控</w:t>
            </w:r>
          </w:p>
        </w:tc>
        <w:tc>
          <w:tcPr>
            <w:tcW w:w="2591" w:type="dxa"/>
            <w:tcBorders>
              <w:top w:val="single" w:color="000000" w:sz="4" w:space="0"/>
              <w:left w:val="nil"/>
              <w:bottom w:val="single" w:color="000000" w:sz="4" w:space="0"/>
              <w:right w:val="single" w:color="000000" w:sz="4" w:space="0"/>
            </w:tcBorders>
            <w:noWrap w:val="0"/>
            <w:vAlign w:val="center"/>
          </w:tcPr>
          <w:p w14:paraId="70DF258C">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不能自控</w:t>
            </w:r>
          </w:p>
          <w:p w14:paraId="63B59688">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11"/>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失控，需帮助处理大小便（如导尿、灌肠等）</w:t>
            </w:r>
          </w:p>
        </w:tc>
        <w:tc>
          <w:tcPr>
            <w:tcW w:w="1015" w:type="dxa"/>
            <w:tcBorders>
              <w:top w:val="single" w:color="000000" w:sz="4" w:space="0"/>
              <w:left w:val="nil"/>
              <w:bottom w:val="single" w:color="000000" w:sz="4" w:space="0"/>
              <w:right w:val="single" w:color="000000" w:sz="8" w:space="0"/>
            </w:tcBorders>
            <w:noWrap w:val="0"/>
            <w:vAlign w:val="top"/>
          </w:tcPr>
          <w:p w14:paraId="2A4C8876">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textAlignment w:val="auto"/>
              <w:rPr>
                <w:rFonts w:hint="eastAsia" w:ascii="仿宋_GB2312" w:hAnsi="仿宋_GB2312" w:eastAsia="仿宋_GB2312" w:cs="仿宋_GB2312"/>
                <w:sz w:val="24"/>
                <w:szCs w:val="24"/>
                <w:highlight w:val="none"/>
              </w:rPr>
            </w:pPr>
          </w:p>
        </w:tc>
      </w:tr>
      <w:tr w14:paraId="5E4910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365" w:hRule="atLeast"/>
          <w:jc w:val="center"/>
        </w:trPr>
        <w:tc>
          <w:tcPr>
            <w:tcW w:w="891" w:type="dxa"/>
            <w:tcBorders>
              <w:top w:val="single" w:color="000000" w:sz="4" w:space="0"/>
              <w:left w:val="single" w:color="000000" w:sz="8" w:space="0"/>
              <w:bottom w:val="single" w:color="000000" w:sz="4" w:space="0"/>
              <w:right w:val="single" w:color="000000" w:sz="4" w:space="0"/>
            </w:tcBorders>
            <w:noWrap w:val="0"/>
            <w:vAlign w:val="center"/>
          </w:tcPr>
          <w:p w14:paraId="79DCBB2A">
            <w:pPr>
              <w:pStyle w:val="9"/>
              <w:autoSpaceDE w:val="0"/>
              <w:autoSpaceDN w:val="0"/>
              <w:spacing w:line="24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用厕</w:t>
            </w:r>
          </w:p>
        </w:tc>
        <w:tc>
          <w:tcPr>
            <w:tcW w:w="2781" w:type="dxa"/>
            <w:tcBorders>
              <w:top w:val="single" w:color="000000" w:sz="4" w:space="0"/>
              <w:left w:val="nil"/>
              <w:bottom w:val="single" w:color="000000" w:sz="4" w:space="0"/>
              <w:right w:val="single" w:color="000000" w:sz="4" w:space="0"/>
            </w:tcBorders>
            <w:noWrap w:val="0"/>
            <w:vAlign w:val="center"/>
          </w:tcPr>
          <w:p w14:paraId="14D920A1">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独立，</w:t>
            </w:r>
            <w:r>
              <w:rPr>
                <w:rFonts w:hint="eastAsia" w:ascii="仿宋_GB2312" w:hAnsi="仿宋_GB2312" w:eastAsia="仿宋_GB2312" w:cs="仿宋_GB2312"/>
                <w:sz w:val="24"/>
                <w:szCs w:val="24"/>
                <w:highlight w:val="none"/>
                <w:lang w:eastAsia="zh-CN"/>
              </w:rPr>
              <w:t>无需帮助</w:t>
            </w:r>
          </w:p>
          <w:p w14:paraId="765DBBD4">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5"/>
              <w:jc w:val="both"/>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能独立用厕、便后拭净及整理衣裤（可用手杖、助步器或轮椅，能处理尿壶、便盆）</w:t>
            </w:r>
          </w:p>
        </w:tc>
        <w:tc>
          <w:tcPr>
            <w:tcW w:w="2592" w:type="dxa"/>
            <w:tcBorders>
              <w:top w:val="single" w:color="000000" w:sz="4" w:space="0"/>
              <w:left w:val="nil"/>
              <w:bottom w:val="single" w:color="000000" w:sz="4" w:space="0"/>
              <w:right w:val="single" w:color="000000" w:sz="4" w:space="0"/>
            </w:tcBorders>
            <w:noWrap w:val="0"/>
            <w:vAlign w:val="center"/>
          </w:tcPr>
          <w:p w14:paraId="433FCE17">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不能独立完成</w:t>
            </w:r>
          </w:p>
          <w:p w14:paraId="27EC97F1">
            <w:pPr>
              <w:pStyle w:val="9"/>
              <w:keepNext w:val="0"/>
              <w:keepLines w:val="0"/>
              <w:pageBreakBefore w:val="0"/>
              <w:widowControl w:val="0"/>
              <w:kinsoku/>
              <w:wordWrap/>
              <w:overflowPunct/>
              <w:topLinePunct w:val="0"/>
              <w:autoSpaceDE w:val="0"/>
              <w:autoSpaceDN w:val="0"/>
              <w:bidi w:val="0"/>
              <w:spacing w:line="300" w:lineRule="exact"/>
              <w:ind w:left="164" w:leftChars="50" w:right="160" w:rightChars="50" w:hanging="4"/>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需要帮助用厕、做便后处理（清洁、整理衣裤）及处理尿壶、便盆</w:t>
            </w:r>
          </w:p>
        </w:tc>
        <w:tc>
          <w:tcPr>
            <w:tcW w:w="2591" w:type="dxa"/>
            <w:tcBorders>
              <w:top w:val="single" w:color="000000" w:sz="4" w:space="0"/>
              <w:left w:val="nil"/>
              <w:bottom w:val="single" w:color="000000" w:sz="4" w:space="0"/>
              <w:right w:val="single" w:color="000000" w:sz="4" w:space="0"/>
            </w:tcBorders>
            <w:noWrap w:val="0"/>
            <w:vAlign w:val="center"/>
          </w:tcPr>
          <w:p w14:paraId="486D0EFE">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不能独立完成</w:t>
            </w:r>
          </w:p>
          <w:p w14:paraId="13787399">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不能用厕</w:t>
            </w:r>
          </w:p>
        </w:tc>
        <w:tc>
          <w:tcPr>
            <w:tcW w:w="1015" w:type="dxa"/>
            <w:tcBorders>
              <w:top w:val="single" w:color="000000" w:sz="4" w:space="0"/>
              <w:left w:val="nil"/>
              <w:bottom w:val="single" w:color="000000" w:sz="4" w:space="0"/>
              <w:right w:val="single" w:color="000000" w:sz="8" w:space="0"/>
            </w:tcBorders>
            <w:noWrap w:val="0"/>
            <w:vAlign w:val="top"/>
          </w:tcPr>
          <w:p w14:paraId="30D726F7">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textAlignment w:val="auto"/>
              <w:rPr>
                <w:rFonts w:hint="eastAsia" w:ascii="仿宋_GB2312" w:hAnsi="仿宋_GB2312" w:eastAsia="仿宋_GB2312" w:cs="仿宋_GB2312"/>
                <w:sz w:val="24"/>
                <w:szCs w:val="24"/>
                <w:highlight w:val="none"/>
              </w:rPr>
            </w:pPr>
          </w:p>
        </w:tc>
      </w:tr>
      <w:tr w14:paraId="18D91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11" w:hRule="atLeast"/>
          <w:jc w:val="center"/>
        </w:trPr>
        <w:tc>
          <w:tcPr>
            <w:tcW w:w="891" w:type="dxa"/>
            <w:tcBorders>
              <w:top w:val="single" w:color="000000" w:sz="4" w:space="0"/>
              <w:left w:val="single" w:color="000000" w:sz="8" w:space="0"/>
              <w:bottom w:val="single" w:color="000000" w:sz="4" w:space="0"/>
              <w:right w:val="single" w:color="000000" w:sz="4" w:space="0"/>
            </w:tcBorders>
            <w:noWrap w:val="0"/>
            <w:vAlign w:val="center"/>
          </w:tcPr>
          <w:p w14:paraId="47B8034C">
            <w:pPr>
              <w:pStyle w:val="9"/>
              <w:autoSpaceDE w:val="0"/>
              <w:autoSpaceDN w:val="0"/>
              <w:spacing w:line="24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洗澡</w:t>
            </w:r>
          </w:p>
        </w:tc>
        <w:tc>
          <w:tcPr>
            <w:tcW w:w="2781" w:type="dxa"/>
            <w:tcBorders>
              <w:top w:val="single" w:color="000000" w:sz="4" w:space="0"/>
              <w:left w:val="nil"/>
              <w:bottom w:val="single" w:color="000000" w:sz="4" w:space="0"/>
              <w:right w:val="single" w:color="000000" w:sz="4" w:space="0"/>
            </w:tcBorders>
            <w:noWrap w:val="0"/>
            <w:vAlign w:val="center"/>
          </w:tcPr>
          <w:p w14:paraId="75252209">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独立，</w:t>
            </w:r>
            <w:r>
              <w:rPr>
                <w:rFonts w:hint="eastAsia" w:ascii="仿宋_GB2312" w:hAnsi="仿宋_GB2312" w:eastAsia="仿宋_GB2312" w:cs="仿宋_GB2312"/>
                <w:sz w:val="24"/>
                <w:szCs w:val="24"/>
                <w:highlight w:val="none"/>
                <w:lang w:eastAsia="zh-CN"/>
              </w:rPr>
              <w:t>无需帮助</w:t>
            </w:r>
          </w:p>
          <w:p w14:paraId="0738AB6A">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3"/>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自己能进出浴室（</w:t>
            </w:r>
            <w:r>
              <w:rPr>
                <w:rFonts w:hint="eastAsia" w:ascii="仿宋_GB2312" w:hAnsi="仿宋_GB2312" w:eastAsia="仿宋_GB2312" w:cs="仿宋_GB2312"/>
                <w:spacing w:val="-5"/>
                <w:sz w:val="24"/>
                <w:szCs w:val="24"/>
                <w:highlight w:val="none"/>
              </w:rPr>
              <w:t>淋浴、</w:t>
            </w:r>
            <w:r>
              <w:rPr>
                <w:rFonts w:hint="eastAsia" w:ascii="仿宋_GB2312" w:hAnsi="仿宋_GB2312" w:eastAsia="仿宋_GB2312" w:cs="仿宋_GB2312"/>
                <w:sz w:val="24"/>
                <w:szCs w:val="24"/>
                <w:highlight w:val="none"/>
              </w:rPr>
              <w:t>盆浴），独立洗澡</w:t>
            </w:r>
          </w:p>
        </w:tc>
        <w:tc>
          <w:tcPr>
            <w:tcW w:w="2592" w:type="dxa"/>
            <w:tcBorders>
              <w:top w:val="single" w:color="000000" w:sz="4" w:space="0"/>
              <w:left w:val="nil"/>
              <w:bottom w:val="single" w:color="000000" w:sz="4" w:space="0"/>
              <w:right w:val="single" w:color="000000" w:sz="4" w:space="0"/>
            </w:tcBorders>
            <w:noWrap w:val="0"/>
            <w:vAlign w:val="center"/>
          </w:tcPr>
          <w:p w14:paraId="5C988831">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部分独立</w:t>
            </w:r>
          </w:p>
          <w:p w14:paraId="2E24A88F">
            <w:pPr>
              <w:pStyle w:val="9"/>
              <w:keepNext w:val="0"/>
              <w:keepLines w:val="0"/>
              <w:pageBreakBefore w:val="0"/>
              <w:widowControl w:val="0"/>
              <w:kinsoku/>
              <w:wordWrap/>
              <w:overflowPunct/>
              <w:topLinePunct w:val="0"/>
              <w:autoSpaceDE w:val="0"/>
              <w:autoSpaceDN w:val="0"/>
              <w:bidi w:val="0"/>
              <w:spacing w:line="300" w:lineRule="exact"/>
              <w:ind w:left="161" w:leftChars="50" w:right="160" w:rightChars="50" w:hanging="1"/>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需帮助洗一部分（</w:t>
            </w:r>
            <w:r>
              <w:rPr>
                <w:rFonts w:hint="eastAsia" w:ascii="仿宋_GB2312" w:hAnsi="仿宋_GB2312" w:eastAsia="仿宋_GB2312" w:cs="仿宋_GB2312"/>
                <w:spacing w:val="-16"/>
                <w:sz w:val="24"/>
                <w:szCs w:val="24"/>
                <w:highlight w:val="none"/>
              </w:rPr>
              <w:t>背</w:t>
            </w:r>
            <w:r>
              <w:rPr>
                <w:rFonts w:hint="eastAsia" w:ascii="仿宋_GB2312" w:hAnsi="仿宋_GB2312" w:eastAsia="仿宋_GB2312" w:cs="仿宋_GB2312"/>
                <w:sz w:val="24"/>
                <w:szCs w:val="24"/>
                <w:highlight w:val="none"/>
              </w:rPr>
              <w:t>部或腿）</w:t>
            </w:r>
          </w:p>
        </w:tc>
        <w:tc>
          <w:tcPr>
            <w:tcW w:w="2591" w:type="dxa"/>
            <w:tcBorders>
              <w:top w:val="single" w:color="000000" w:sz="4" w:space="0"/>
              <w:left w:val="nil"/>
              <w:bottom w:val="single" w:color="000000" w:sz="4" w:space="0"/>
              <w:right w:val="single" w:color="000000" w:sz="4" w:space="0"/>
            </w:tcBorders>
            <w:noWrap w:val="0"/>
            <w:vAlign w:val="center"/>
          </w:tcPr>
          <w:p w14:paraId="20580B49">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3"/>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不能独立完成</w:t>
            </w:r>
          </w:p>
          <w:p w14:paraId="0A3FD97D">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3"/>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pacing w:val="-2"/>
                <w:sz w:val="24"/>
                <w:szCs w:val="24"/>
                <w:highlight w:val="none"/>
              </w:rPr>
              <w:t>不能洗澡</w:t>
            </w:r>
            <w:r>
              <w:rPr>
                <w:rFonts w:hint="eastAsia" w:ascii="仿宋_GB2312" w:hAnsi="仿宋_GB2312" w:eastAsia="仿宋_GB2312" w:cs="仿宋_GB2312"/>
                <w:spacing w:val="-2"/>
                <w:sz w:val="24"/>
                <w:szCs w:val="24"/>
                <w:highlight w:val="none"/>
                <w:lang w:eastAsia="zh-CN"/>
              </w:rPr>
              <w:t>或</w:t>
            </w:r>
            <w:r>
              <w:rPr>
                <w:rFonts w:hint="eastAsia" w:ascii="仿宋_GB2312" w:hAnsi="仿宋_GB2312" w:eastAsia="仿宋_GB2312" w:cs="仿宋_GB2312"/>
                <w:spacing w:val="-2"/>
                <w:sz w:val="24"/>
                <w:szCs w:val="24"/>
                <w:highlight w:val="none"/>
              </w:rPr>
              <w:t>大</w:t>
            </w:r>
            <w:r>
              <w:rPr>
                <w:rFonts w:hint="eastAsia" w:ascii="仿宋_GB2312" w:hAnsi="仿宋_GB2312" w:eastAsia="仿宋_GB2312" w:cs="仿宋_GB2312"/>
                <w:sz w:val="24"/>
                <w:szCs w:val="24"/>
                <w:highlight w:val="none"/>
              </w:rPr>
              <w:t>部分需帮助洗</w:t>
            </w:r>
          </w:p>
        </w:tc>
        <w:tc>
          <w:tcPr>
            <w:tcW w:w="1015" w:type="dxa"/>
            <w:tcBorders>
              <w:top w:val="single" w:color="000000" w:sz="4" w:space="0"/>
              <w:left w:val="nil"/>
              <w:bottom w:val="single" w:color="000000" w:sz="4" w:space="0"/>
              <w:right w:val="single" w:color="000000" w:sz="8" w:space="0"/>
            </w:tcBorders>
            <w:noWrap w:val="0"/>
            <w:vAlign w:val="top"/>
          </w:tcPr>
          <w:p w14:paraId="57C13339">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textAlignment w:val="auto"/>
              <w:rPr>
                <w:rFonts w:hint="eastAsia" w:ascii="仿宋_GB2312" w:hAnsi="仿宋_GB2312" w:eastAsia="仿宋_GB2312" w:cs="仿宋_GB2312"/>
                <w:sz w:val="24"/>
                <w:szCs w:val="24"/>
                <w:highlight w:val="none"/>
              </w:rPr>
            </w:pPr>
          </w:p>
        </w:tc>
      </w:tr>
      <w:tr w14:paraId="1DA3CC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81" w:hRule="atLeast"/>
          <w:jc w:val="center"/>
        </w:trPr>
        <w:tc>
          <w:tcPr>
            <w:tcW w:w="891" w:type="dxa"/>
            <w:tcBorders>
              <w:top w:val="single" w:color="000000" w:sz="4" w:space="0"/>
              <w:left w:val="single" w:color="000000" w:sz="8" w:space="0"/>
              <w:bottom w:val="single" w:color="000000" w:sz="4" w:space="0"/>
              <w:right w:val="single" w:color="000000" w:sz="4" w:space="0"/>
            </w:tcBorders>
            <w:noWrap w:val="0"/>
            <w:vAlign w:val="center"/>
          </w:tcPr>
          <w:p w14:paraId="46A6B9EF">
            <w:pPr>
              <w:pStyle w:val="9"/>
              <w:autoSpaceDE w:val="0"/>
              <w:autoSpaceDN w:val="0"/>
              <w:spacing w:line="24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床椅</w:t>
            </w:r>
          </w:p>
          <w:p w14:paraId="147EBDDD">
            <w:pPr>
              <w:pStyle w:val="9"/>
              <w:autoSpaceDE w:val="0"/>
              <w:autoSpaceDN w:val="0"/>
              <w:spacing w:line="24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转移</w:t>
            </w:r>
          </w:p>
        </w:tc>
        <w:tc>
          <w:tcPr>
            <w:tcW w:w="2781" w:type="dxa"/>
            <w:tcBorders>
              <w:top w:val="single" w:color="000000" w:sz="4" w:space="0"/>
              <w:left w:val="nil"/>
              <w:bottom w:val="single" w:color="000000" w:sz="4" w:space="0"/>
              <w:right w:val="single" w:color="000000" w:sz="4" w:space="0"/>
            </w:tcBorders>
            <w:noWrap w:val="0"/>
            <w:vAlign w:val="center"/>
          </w:tcPr>
          <w:p w14:paraId="03B1DC8F">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独立，</w:t>
            </w:r>
            <w:r>
              <w:rPr>
                <w:rFonts w:hint="eastAsia" w:ascii="仿宋_GB2312" w:hAnsi="仿宋_GB2312" w:eastAsia="仿宋_GB2312" w:cs="仿宋_GB2312"/>
                <w:sz w:val="24"/>
                <w:szCs w:val="24"/>
                <w:highlight w:val="none"/>
                <w:lang w:eastAsia="zh-CN"/>
              </w:rPr>
              <w:t>无需帮助</w:t>
            </w:r>
          </w:p>
          <w:p w14:paraId="4F390D77">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13"/>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自己能下床，坐上及离开椅、凳（可用手杖或助步器）</w:t>
            </w:r>
          </w:p>
        </w:tc>
        <w:tc>
          <w:tcPr>
            <w:tcW w:w="2592" w:type="dxa"/>
            <w:tcBorders>
              <w:top w:val="single" w:color="000000" w:sz="4" w:space="0"/>
              <w:left w:val="nil"/>
              <w:bottom w:val="single" w:color="000000" w:sz="4" w:space="0"/>
              <w:right w:val="single" w:color="000000" w:sz="4" w:space="0"/>
            </w:tcBorders>
            <w:noWrap w:val="0"/>
            <w:vAlign w:val="center"/>
          </w:tcPr>
          <w:p w14:paraId="0E223AA2">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不能独立完成</w:t>
            </w:r>
          </w:p>
          <w:p w14:paraId="2A0E67DC">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需帮助上、下床椅</w:t>
            </w:r>
          </w:p>
        </w:tc>
        <w:tc>
          <w:tcPr>
            <w:tcW w:w="2591" w:type="dxa"/>
            <w:tcBorders>
              <w:top w:val="single" w:color="000000" w:sz="4" w:space="0"/>
              <w:left w:val="nil"/>
              <w:bottom w:val="single" w:color="000000" w:sz="4" w:space="0"/>
              <w:right w:val="single" w:color="000000" w:sz="4" w:space="0"/>
            </w:tcBorders>
            <w:noWrap w:val="0"/>
            <w:vAlign w:val="center"/>
          </w:tcPr>
          <w:p w14:paraId="764B9C47">
            <w:pPr>
              <w:pStyle w:val="9"/>
              <w:keepNext w:val="0"/>
              <w:keepLines w:val="0"/>
              <w:pageBreakBefore w:val="0"/>
              <w:widowControl w:val="0"/>
              <w:kinsoku/>
              <w:wordWrap/>
              <w:overflowPunct/>
              <w:topLinePunct w:val="0"/>
              <w:autoSpaceDE w:val="0"/>
              <w:autoSpaceDN w:val="0"/>
              <w:bidi w:val="0"/>
              <w:spacing w:line="300" w:lineRule="exact"/>
              <w:ind w:left="161" w:leftChars="50" w:right="160" w:rightChars="50" w:hanging="1"/>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不能独立完成</w:t>
            </w:r>
          </w:p>
          <w:p w14:paraId="7807AEB6">
            <w:pPr>
              <w:pStyle w:val="9"/>
              <w:keepNext w:val="0"/>
              <w:keepLines w:val="0"/>
              <w:pageBreakBefore w:val="0"/>
              <w:widowControl w:val="0"/>
              <w:kinsoku/>
              <w:wordWrap/>
              <w:overflowPunct/>
              <w:topLinePunct w:val="0"/>
              <w:autoSpaceDE w:val="0"/>
              <w:autoSpaceDN w:val="0"/>
              <w:bidi w:val="0"/>
              <w:spacing w:line="300" w:lineRule="exact"/>
              <w:ind w:left="161" w:leftChars="50" w:right="160" w:rightChars="50" w:hanging="1"/>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卧床不起</w:t>
            </w:r>
          </w:p>
        </w:tc>
        <w:tc>
          <w:tcPr>
            <w:tcW w:w="1015" w:type="dxa"/>
            <w:tcBorders>
              <w:top w:val="single" w:color="000000" w:sz="4" w:space="0"/>
              <w:left w:val="nil"/>
              <w:bottom w:val="single" w:color="000000" w:sz="4" w:space="0"/>
              <w:right w:val="single" w:color="000000" w:sz="8" w:space="0"/>
            </w:tcBorders>
            <w:noWrap w:val="0"/>
            <w:vAlign w:val="top"/>
          </w:tcPr>
          <w:p w14:paraId="172754D9">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textAlignment w:val="auto"/>
              <w:rPr>
                <w:rFonts w:hint="eastAsia" w:ascii="仿宋_GB2312" w:hAnsi="仿宋_GB2312" w:eastAsia="仿宋_GB2312" w:cs="仿宋_GB2312"/>
                <w:sz w:val="24"/>
                <w:szCs w:val="24"/>
                <w:highlight w:val="none"/>
              </w:rPr>
            </w:pPr>
          </w:p>
        </w:tc>
      </w:tr>
      <w:tr w14:paraId="7AF507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78" w:hRule="atLeast"/>
          <w:jc w:val="center"/>
        </w:trPr>
        <w:tc>
          <w:tcPr>
            <w:tcW w:w="891" w:type="dxa"/>
            <w:tcBorders>
              <w:top w:val="single" w:color="000000" w:sz="4" w:space="0"/>
              <w:left w:val="single" w:color="000000" w:sz="8" w:space="0"/>
              <w:bottom w:val="single" w:color="000000" w:sz="4" w:space="0"/>
              <w:right w:val="single" w:color="000000" w:sz="4" w:space="0"/>
            </w:tcBorders>
            <w:noWrap w:val="0"/>
            <w:vAlign w:val="center"/>
          </w:tcPr>
          <w:p w14:paraId="483CBDC8">
            <w:pPr>
              <w:pStyle w:val="9"/>
              <w:autoSpaceDE w:val="0"/>
              <w:autoSpaceDN w:val="0"/>
              <w:spacing w:line="24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综合</w:t>
            </w:r>
          </w:p>
        </w:tc>
        <w:tc>
          <w:tcPr>
            <w:tcW w:w="8979" w:type="dxa"/>
            <w:gridSpan w:val="4"/>
            <w:tcBorders>
              <w:top w:val="single" w:color="000000" w:sz="4" w:space="0"/>
              <w:left w:val="nil"/>
              <w:bottom w:val="single" w:color="000000" w:sz="4" w:space="0"/>
              <w:right w:val="single" w:color="000000" w:sz="8" w:space="0"/>
            </w:tcBorders>
            <w:noWrap w:val="0"/>
            <w:vAlign w:val="center"/>
          </w:tcPr>
          <w:p w14:paraId="42294FB1">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firstLine="2160" w:firstLineChars="90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自评失能等级为：   </w:t>
            </w:r>
            <w:r>
              <w:rPr>
                <w:rFonts w:hint="eastAsia" w:ascii="仿宋_GB2312" w:hAnsi="仿宋_GB2312" w:eastAsia="仿宋_GB2312" w:cs="仿宋_GB2312"/>
                <w:sz w:val="24"/>
                <w:szCs w:val="24"/>
                <w:highlight w:val="none"/>
              </w:rPr>
              <w:tab/>
            </w:r>
            <w:r>
              <w:rPr>
                <w:rFonts w:hint="eastAsia" w:ascii="仿宋_GB2312" w:hAnsi="仿宋_GB2312" w:eastAsia="仿宋_GB2312" w:cs="仿宋_GB2312"/>
                <w:sz w:val="24"/>
                <w:szCs w:val="24"/>
                <w:highlight w:val="none"/>
              </w:rPr>
              <w:t>级</w:t>
            </w:r>
          </w:p>
        </w:tc>
      </w:tr>
      <w:tr w14:paraId="4CC5CB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10" w:hRule="atLeast"/>
          <w:jc w:val="center"/>
        </w:trPr>
        <w:tc>
          <w:tcPr>
            <w:tcW w:w="891" w:type="dxa"/>
            <w:vMerge w:val="restart"/>
            <w:tcBorders>
              <w:top w:val="nil"/>
              <w:left w:val="single" w:color="000000" w:sz="8" w:space="0"/>
              <w:bottom w:val="single" w:color="000000" w:sz="8" w:space="0"/>
              <w:right w:val="single" w:color="000000" w:sz="4" w:space="0"/>
            </w:tcBorders>
            <w:noWrap w:val="0"/>
            <w:vAlign w:val="center"/>
          </w:tcPr>
          <w:p w14:paraId="2B6751F6">
            <w:pPr>
              <w:pStyle w:val="9"/>
              <w:autoSpaceDE w:val="0"/>
              <w:autoSpaceDN w:val="0"/>
              <w:spacing w:line="240" w:lineRule="exact"/>
              <w:jc w:val="center"/>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说明</w:t>
            </w:r>
          </w:p>
        </w:tc>
        <w:tc>
          <w:tcPr>
            <w:tcW w:w="8979" w:type="dxa"/>
            <w:gridSpan w:val="4"/>
            <w:tcBorders>
              <w:top w:val="single" w:color="000000" w:sz="4" w:space="0"/>
              <w:left w:val="nil"/>
              <w:bottom w:val="single" w:color="000000" w:sz="4" w:space="0"/>
              <w:right w:val="single" w:color="000000" w:sz="8" w:space="0"/>
            </w:tcBorders>
            <w:noWrap w:val="0"/>
            <w:vAlign w:val="center"/>
          </w:tcPr>
          <w:p w14:paraId="27605ECE">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进食、大小便控制、洗澡为a类，穿衣、用厕、床椅转移为b类。</w:t>
            </w:r>
          </w:p>
        </w:tc>
      </w:tr>
      <w:tr w14:paraId="796A31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50" w:hRule="atLeast"/>
          <w:jc w:val="center"/>
        </w:trPr>
        <w:tc>
          <w:tcPr>
            <w:tcW w:w="891" w:type="dxa"/>
            <w:vMerge w:val="continue"/>
            <w:tcBorders>
              <w:top w:val="nil"/>
              <w:left w:val="single" w:color="000000" w:sz="8" w:space="0"/>
              <w:bottom w:val="single" w:color="000000" w:sz="8" w:space="0"/>
              <w:right w:val="single" w:color="000000" w:sz="4" w:space="0"/>
            </w:tcBorders>
            <w:noWrap w:val="0"/>
            <w:vAlign w:val="center"/>
          </w:tcPr>
          <w:p w14:paraId="4D599F56">
            <w:pPr>
              <w:jc w:val="center"/>
              <w:rPr>
                <w:rFonts w:hint="eastAsia" w:ascii="仿宋_GB2312" w:hAnsi="仿宋_GB2312" w:eastAsia="仿宋_GB2312" w:cs="仿宋_GB2312"/>
                <w:sz w:val="24"/>
                <w:szCs w:val="24"/>
                <w:highlight w:val="none"/>
              </w:rPr>
            </w:pPr>
          </w:p>
        </w:tc>
        <w:tc>
          <w:tcPr>
            <w:tcW w:w="8979" w:type="dxa"/>
            <w:gridSpan w:val="4"/>
            <w:tcBorders>
              <w:top w:val="single" w:color="000000" w:sz="4" w:space="0"/>
              <w:left w:val="nil"/>
              <w:bottom w:val="single" w:color="000000" w:sz="4" w:space="0"/>
              <w:right w:val="single" w:color="000000" w:sz="8" w:space="0"/>
            </w:tcBorders>
            <w:noWrap w:val="0"/>
            <w:vAlign w:val="center"/>
          </w:tcPr>
          <w:p w14:paraId="1B21DBCA">
            <w:pPr>
              <w:pStyle w:val="9"/>
              <w:keepNext w:val="0"/>
              <w:keepLines w:val="0"/>
              <w:pageBreakBefore w:val="0"/>
              <w:widowControl w:val="0"/>
              <w:kinsoku/>
              <w:wordWrap/>
              <w:overflowPunct/>
              <w:topLinePunct w:val="0"/>
              <w:autoSpaceDE w:val="0"/>
              <w:autoSpaceDN w:val="0"/>
              <w:bidi w:val="0"/>
              <w:adjustRightInd w:val="0"/>
              <w:snapToGrid w:val="0"/>
              <w:spacing w:line="300" w:lineRule="exact"/>
              <w:ind w:left="160" w:leftChars="50" w:right="160" w:rightChars="5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A级：a类b类所有项目均独立；  </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B</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级：a类1项或b类1-2项依赖；</w:t>
            </w:r>
          </w:p>
          <w:p w14:paraId="54C94BC8">
            <w:pPr>
              <w:pStyle w:val="9"/>
              <w:keepNext w:val="0"/>
              <w:keepLines w:val="0"/>
              <w:pageBreakBefore w:val="0"/>
              <w:widowControl w:val="0"/>
              <w:kinsoku/>
              <w:wordWrap/>
              <w:overflowPunct/>
              <w:topLinePunct w:val="0"/>
              <w:autoSpaceDE w:val="0"/>
              <w:autoSpaceDN w:val="0"/>
              <w:bidi w:val="0"/>
              <w:adjustRightInd w:val="0"/>
              <w:snapToGrid w:val="0"/>
              <w:spacing w:line="300" w:lineRule="exact"/>
              <w:ind w:left="160" w:leftChars="50" w:right="160" w:rightChars="5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C级：a类b类各1项或b类3项依赖；</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D</w:t>
            </w:r>
            <w:r>
              <w:rPr>
                <w:rFonts w:hint="eastAsia" w:ascii="仿宋_GB2312" w:hAnsi="仿宋_GB2312" w:eastAsia="仿宋_GB2312" w:cs="仿宋_GB2312"/>
                <w:sz w:val="24"/>
                <w:szCs w:val="24"/>
                <w:highlight w:val="none"/>
                <w:lang w:val="en-US" w:eastAsia="zh-CN"/>
              </w:rPr>
              <w:t xml:space="preserve"> </w:t>
            </w:r>
            <w:r>
              <w:rPr>
                <w:rFonts w:hint="eastAsia" w:ascii="仿宋_GB2312" w:hAnsi="仿宋_GB2312" w:eastAsia="仿宋_GB2312" w:cs="仿宋_GB2312"/>
                <w:sz w:val="24"/>
                <w:szCs w:val="24"/>
                <w:highlight w:val="none"/>
              </w:rPr>
              <w:t>级：a类2项或a类1项b类2项依赖；</w:t>
            </w:r>
          </w:p>
          <w:p w14:paraId="6DA2D3D1">
            <w:pPr>
              <w:pStyle w:val="9"/>
              <w:keepNext w:val="0"/>
              <w:keepLines w:val="0"/>
              <w:pageBreakBefore w:val="0"/>
              <w:widowControl w:val="0"/>
              <w:kinsoku/>
              <w:wordWrap/>
              <w:overflowPunct/>
              <w:topLinePunct w:val="0"/>
              <w:autoSpaceDE w:val="0"/>
              <w:autoSpaceDN w:val="0"/>
              <w:bidi w:val="0"/>
              <w:adjustRightInd w:val="0"/>
              <w:snapToGrid w:val="0"/>
              <w:spacing w:line="300" w:lineRule="exact"/>
              <w:ind w:left="160" w:leftChars="50" w:right="160" w:rightChars="5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E级：a类3项依赖或a类2项b类1-2项依赖或a类1项b类3项依赖；</w:t>
            </w:r>
          </w:p>
          <w:p w14:paraId="69823CF6">
            <w:pPr>
              <w:pStyle w:val="9"/>
              <w:keepNext w:val="0"/>
              <w:keepLines w:val="0"/>
              <w:pageBreakBefore w:val="0"/>
              <w:widowControl w:val="0"/>
              <w:kinsoku/>
              <w:wordWrap/>
              <w:overflowPunct/>
              <w:topLinePunct w:val="0"/>
              <w:autoSpaceDE w:val="0"/>
              <w:autoSpaceDN w:val="0"/>
              <w:bidi w:val="0"/>
              <w:adjustRightInd w:val="0"/>
              <w:snapToGrid w:val="0"/>
              <w:spacing w:line="300" w:lineRule="exact"/>
              <w:ind w:left="160" w:leftChars="50" w:right="160" w:rightChars="5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F级：a类3项b类1-2项依赖或a类2项b类3项依赖；</w:t>
            </w:r>
          </w:p>
          <w:p w14:paraId="4789267E">
            <w:pPr>
              <w:pStyle w:val="9"/>
              <w:keepNext w:val="0"/>
              <w:keepLines w:val="0"/>
              <w:pageBreakBefore w:val="0"/>
              <w:widowControl w:val="0"/>
              <w:kinsoku/>
              <w:wordWrap/>
              <w:overflowPunct/>
              <w:topLinePunct w:val="0"/>
              <w:autoSpaceDE w:val="0"/>
              <w:autoSpaceDN w:val="0"/>
              <w:bidi w:val="0"/>
              <w:adjustRightInd w:val="0"/>
              <w:snapToGrid w:val="0"/>
              <w:spacing w:line="300" w:lineRule="exact"/>
              <w:ind w:left="160" w:leftChars="50" w:right="160" w:rightChars="5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G级：a类b类所有项目均依赖。</w:t>
            </w:r>
          </w:p>
        </w:tc>
      </w:tr>
      <w:tr w14:paraId="736F14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69" w:hRule="atLeast"/>
          <w:jc w:val="center"/>
        </w:trPr>
        <w:tc>
          <w:tcPr>
            <w:tcW w:w="891" w:type="dxa"/>
            <w:vMerge w:val="continue"/>
            <w:tcBorders>
              <w:top w:val="nil"/>
              <w:left w:val="single" w:color="000000" w:sz="8" w:space="0"/>
              <w:bottom w:val="single" w:color="000000" w:sz="8" w:space="0"/>
              <w:right w:val="single" w:color="000000" w:sz="4" w:space="0"/>
            </w:tcBorders>
            <w:noWrap w:val="0"/>
            <w:vAlign w:val="center"/>
          </w:tcPr>
          <w:p w14:paraId="3232EB93">
            <w:pPr>
              <w:jc w:val="center"/>
              <w:rPr>
                <w:rFonts w:hint="eastAsia" w:ascii="仿宋_GB2312" w:hAnsi="仿宋_GB2312" w:eastAsia="仿宋_GB2312" w:cs="仿宋_GB2312"/>
                <w:sz w:val="24"/>
                <w:szCs w:val="24"/>
                <w:highlight w:val="none"/>
              </w:rPr>
            </w:pPr>
          </w:p>
        </w:tc>
        <w:tc>
          <w:tcPr>
            <w:tcW w:w="8979" w:type="dxa"/>
            <w:gridSpan w:val="4"/>
            <w:tcBorders>
              <w:top w:val="single" w:color="000000" w:sz="4" w:space="0"/>
              <w:left w:val="nil"/>
              <w:bottom w:val="single" w:color="000000" w:sz="8" w:space="0"/>
              <w:right w:val="single" w:color="000000" w:sz="8" w:space="0"/>
            </w:tcBorders>
            <w:noWrap w:val="0"/>
            <w:vAlign w:val="center"/>
          </w:tcPr>
          <w:p w14:paraId="4D9BE467">
            <w:pPr>
              <w:pStyle w:val="9"/>
              <w:keepNext w:val="0"/>
              <w:keepLines w:val="0"/>
              <w:pageBreakBefore w:val="0"/>
              <w:widowControl w:val="0"/>
              <w:kinsoku/>
              <w:wordWrap/>
              <w:overflowPunct/>
              <w:topLinePunct w:val="0"/>
              <w:autoSpaceDE w:val="0"/>
              <w:autoSpaceDN w:val="0"/>
              <w:bidi w:val="0"/>
              <w:spacing w:line="300" w:lineRule="exact"/>
              <w:ind w:left="160" w:leftChars="50" w:right="160" w:rightChars="5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此表由参保人员或其家属、代理人自行评估</w:t>
            </w:r>
            <w:r>
              <w:rPr>
                <w:rFonts w:hint="eastAsia" w:ascii="仿宋_GB2312" w:hAnsi="仿宋_GB2312" w:eastAsia="仿宋_GB2312" w:cs="仿宋_GB2312"/>
                <w:sz w:val="24"/>
                <w:szCs w:val="24"/>
                <w:highlight w:val="none"/>
                <w:lang w:eastAsia="zh-CN"/>
              </w:rPr>
              <w:t>，</w:t>
            </w:r>
            <w:r>
              <w:rPr>
                <w:rFonts w:hint="eastAsia" w:ascii="仿宋_GB2312" w:hAnsi="仿宋_GB2312" w:eastAsia="仿宋_GB2312" w:cs="仿宋_GB2312"/>
                <w:sz w:val="24"/>
                <w:szCs w:val="24"/>
                <w:highlight w:val="none"/>
              </w:rPr>
              <w:t>当等级达到E级</w:t>
            </w:r>
            <w:r>
              <w:rPr>
                <w:rFonts w:hint="eastAsia" w:ascii="仿宋_GB2312" w:hAnsi="仿宋_GB2312" w:eastAsia="仿宋_GB2312" w:cs="仿宋_GB2312"/>
                <w:spacing w:val="9"/>
                <w:sz w:val="24"/>
                <w:szCs w:val="24"/>
                <w:highlight w:val="none"/>
              </w:rPr>
              <w:t>、</w:t>
            </w:r>
            <w:r>
              <w:rPr>
                <w:rFonts w:hint="eastAsia" w:ascii="仿宋_GB2312" w:hAnsi="仿宋_GB2312" w:eastAsia="仿宋_GB2312" w:cs="仿宋_GB2312"/>
                <w:sz w:val="24"/>
                <w:szCs w:val="24"/>
                <w:highlight w:val="none"/>
              </w:rPr>
              <w:t>F级、G级时方可申请长期护理失能等级评估。</w:t>
            </w:r>
          </w:p>
        </w:tc>
      </w:tr>
    </w:tbl>
    <w:p w14:paraId="4BFFCA12">
      <w:pPr>
        <w:spacing w:line="560" w:lineRule="exact"/>
        <w:jc w:val="left"/>
        <w:rPr>
          <w:rFonts w:hint="eastAsia" w:ascii="方正小标宋简体" w:eastAsia="方正小标宋简体"/>
          <w:sz w:val="36"/>
          <w:szCs w:val="36"/>
          <w:highlight w:val="none"/>
        </w:rPr>
      </w:pPr>
      <w:r>
        <w:rPr>
          <w:rFonts w:ascii="黑体" w:hAnsi="宋体" w:eastAsia="黑体" w:cs="楷体"/>
          <w:highlight w:val="none"/>
        </w:rPr>
        <w:br w:type="page"/>
      </w:r>
      <w:r>
        <w:rPr>
          <w:rFonts w:hint="eastAsia" w:ascii="黑体" w:hAnsi="黑体" w:eastAsia="黑体" w:cs="黑体"/>
          <w:b w:val="0"/>
          <w:bCs w:val="0"/>
          <w:sz w:val="32"/>
          <w:szCs w:val="32"/>
          <w:highlight w:val="none"/>
        </w:rPr>
        <w:t>附件</w:t>
      </w:r>
      <w:r>
        <w:rPr>
          <w:rFonts w:hint="eastAsia" w:ascii="黑体" w:hAnsi="黑体" w:eastAsia="黑体" w:cs="黑体"/>
          <w:b w:val="0"/>
          <w:bCs w:val="0"/>
          <w:sz w:val="32"/>
          <w:szCs w:val="32"/>
          <w:highlight w:val="none"/>
          <w:lang w:val="en-US" w:eastAsia="zh-CN"/>
        </w:rPr>
        <w:t>2</w:t>
      </w:r>
    </w:p>
    <w:p w14:paraId="5BC83459">
      <w:pPr>
        <w:spacing w:line="600" w:lineRule="exact"/>
        <w:jc w:val="center"/>
        <w:outlineLvl w:val="0"/>
        <w:rPr>
          <w:rFonts w:hint="eastAsia" w:ascii="方正小标宋简体" w:eastAsia="方正小标宋简体"/>
          <w:sz w:val="36"/>
          <w:szCs w:val="36"/>
          <w:highlight w:val="none"/>
        </w:rPr>
      </w:pPr>
      <w:r>
        <w:rPr>
          <w:rFonts w:hint="eastAsia" w:ascii="方正小标宋简体" w:eastAsia="方正小标宋简体"/>
          <w:color w:val="000000"/>
          <w:sz w:val="44"/>
          <w:szCs w:val="44"/>
          <w:highlight w:val="none"/>
          <w:lang w:eastAsia="zh-CN"/>
        </w:rPr>
        <w:t>赣州市</w:t>
      </w:r>
      <w:r>
        <w:rPr>
          <w:rFonts w:hint="eastAsia" w:ascii="方正小标宋简体" w:eastAsia="方正小标宋简体"/>
          <w:color w:val="000000"/>
          <w:sz w:val="44"/>
          <w:szCs w:val="44"/>
          <w:highlight w:val="none"/>
        </w:rPr>
        <w:t>长期护理保险失能等级评估申请表</w:t>
      </w:r>
    </w:p>
    <w:tbl>
      <w:tblPr>
        <w:tblStyle w:val="5"/>
        <w:tblW w:w="9537" w:type="dxa"/>
        <w:jc w:val="center"/>
        <w:tblLayout w:type="fixed"/>
        <w:tblCellMar>
          <w:top w:w="0" w:type="dxa"/>
          <w:left w:w="108" w:type="dxa"/>
          <w:bottom w:w="0" w:type="dxa"/>
          <w:right w:w="108" w:type="dxa"/>
        </w:tblCellMar>
      </w:tblPr>
      <w:tblGrid>
        <w:gridCol w:w="597"/>
        <w:gridCol w:w="2294"/>
        <w:gridCol w:w="2001"/>
        <w:gridCol w:w="1512"/>
        <w:gridCol w:w="3133"/>
      </w:tblGrid>
      <w:tr w14:paraId="21745E0F">
        <w:tblPrEx>
          <w:tblCellMar>
            <w:top w:w="0" w:type="dxa"/>
            <w:left w:w="108" w:type="dxa"/>
            <w:bottom w:w="0" w:type="dxa"/>
            <w:right w:w="108" w:type="dxa"/>
          </w:tblCellMar>
        </w:tblPrEx>
        <w:trPr>
          <w:trHeight w:val="411" w:hRule="atLeast"/>
          <w:jc w:val="center"/>
        </w:trPr>
        <w:tc>
          <w:tcPr>
            <w:tcW w:w="597" w:type="dxa"/>
            <w:vMerge w:val="restart"/>
            <w:tcBorders>
              <w:top w:val="single" w:color="auto" w:sz="4" w:space="0"/>
              <w:left w:val="single" w:color="auto" w:sz="4" w:space="0"/>
              <w:bottom w:val="single" w:color="auto" w:sz="4" w:space="0"/>
              <w:right w:val="single" w:color="auto" w:sz="4" w:space="0"/>
            </w:tcBorders>
            <w:noWrap w:val="0"/>
            <w:vAlign w:val="center"/>
          </w:tcPr>
          <w:p w14:paraId="05829CD2">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评</w:t>
            </w:r>
          </w:p>
          <w:p w14:paraId="3AEE2488">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估</w:t>
            </w:r>
          </w:p>
          <w:p w14:paraId="1DED2B9E">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对</w:t>
            </w:r>
          </w:p>
          <w:p w14:paraId="3B86925A">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象</w:t>
            </w:r>
          </w:p>
          <w:p w14:paraId="69FC7636">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基</w:t>
            </w:r>
          </w:p>
          <w:p w14:paraId="40986552">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本</w:t>
            </w:r>
          </w:p>
          <w:p w14:paraId="3A8C555C">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信</w:t>
            </w:r>
          </w:p>
          <w:p w14:paraId="19860688">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息</w:t>
            </w:r>
          </w:p>
        </w:tc>
        <w:tc>
          <w:tcPr>
            <w:tcW w:w="2294" w:type="dxa"/>
            <w:tcBorders>
              <w:top w:val="single" w:color="auto" w:sz="4" w:space="0"/>
              <w:left w:val="nil"/>
              <w:bottom w:val="single" w:color="auto" w:sz="4" w:space="0"/>
              <w:right w:val="single" w:color="auto" w:sz="4" w:space="0"/>
            </w:tcBorders>
            <w:noWrap w:val="0"/>
            <w:vAlign w:val="center"/>
          </w:tcPr>
          <w:p w14:paraId="5CCEDCAC">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姓 名</w:t>
            </w:r>
          </w:p>
        </w:tc>
        <w:tc>
          <w:tcPr>
            <w:tcW w:w="2001" w:type="dxa"/>
            <w:tcBorders>
              <w:top w:val="single" w:color="auto" w:sz="4" w:space="0"/>
              <w:left w:val="nil"/>
              <w:bottom w:val="single" w:color="auto" w:sz="4" w:space="0"/>
              <w:right w:val="single" w:color="auto" w:sz="4" w:space="0"/>
            </w:tcBorders>
            <w:noWrap w:val="0"/>
            <w:vAlign w:val="center"/>
          </w:tcPr>
          <w:p w14:paraId="3DD0C71B">
            <w:pPr>
              <w:spacing w:line="340" w:lineRule="exact"/>
              <w:jc w:val="center"/>
              <w:rPr>
                <w:rFonts w:hint="eastAsia" w:ascii="仿宋_GB2312" w:hAnsi="仿宋_GB2312" w:eastAsia="仿宋_GB2312" w:cs="仿宋_GB2312"/>
                <w:sz w:val="24"/>
                <w:szCs w:val="24"/>
                <w:highlight w:val="none"/>
              </w:rPr>
            </w:pPr>
          </w:p>
        </w:tc>
        <w:tc>
          <w:tcPr>
            <w:tcW w:w="1512" w:type="dxa"/>
            <w:tcBorders>
              <w:top w:val="single" w:color="auto" w:sz="4" w:space="0"/>
              <w:left w:val="nil"/>
              <w:bottom w:val="single" w:color="auto" w:sz="4" w:space="0"/>
              <w:right w:val="single" w:color="auto" w:sz="4" w:space="0"/>
            </w:tcBorders>
            <w:noWrap w:val="0"/>
            <w:vAlign w:val="center"/>
          </w:tcPr>
          <w:p w14:paraId="4D9BA62D">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身份证号码</w:t>
            </w:r>
          </w:p>
        </w:tc>
        <w:tc>
          <w:tcPr>
            <w:tcW w:w="3133" w:type="dxa"/>
            <w:tcBorders>
              <w:top w:val="single" w:color="auto" w:sz="4" w:space="0"/>
              <w:left w:val="nil"/>
              <w:bottom w:val="single" w:color="auto" w:sz="4" w:space="0"/>
              <w:right w:val="single" w:color="auto" w:sz="4" w:space="0"/>
            </w:tcBorders>
            <w:noWrap w:val="0"/>
            <w:vAlign w:val="center"/>
          </w:tcPr>
          <w:p w14:paraId="7639351F">
            <w:pPr>
              <w:spacing w:line="340" w:lineRule="exact"/>
              <w:jc w:val="center"/>
              <w:rPr>
                <w:rFonts w:hint="eastAsia" w:ascii="仿宋_GB2312" w:hAnsi="仿宋_GB2312" w:eastAsia="仿宋_GB2312" w:cs="仿宋_GB2312"/>
                <w:sz w:val="24"/>
                <w:szCs w:val="24"/>
                <w:highlight w:val="none"/>
              </w:rPr>
            </w:pPr>
          </w:p>
        </w:tc>
      </w:tr>
      <w:tr w14:paraId="78765F4B">
        <w:tblPrEx>
          <w:tblCellMar>
            <w:top w:w="0" w:type="dxa"/>
            <w:left w:w="108" w:type="dxa"/>
            <w:bottom w:w="0" w:type="dxa"/>
            <w:right w:w="108" w:type="dxa"/>
          </w:tblCellMar>
        </w:tblPrEx>
        <w:trPr>
          <w:trHeight w:val="4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7A0BFC94">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1909231D">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性 别</w:t>
            </w:r>
          </w:p>
        </w:tc>
        <w:tc>
          <w:tcPr>
            <w:tcW w:w="2001" w:type="dxa"/>
            <w:tcBorders>
              <w:top w:val="single" w:color="auto" w:sz="4" w:space="0"/>
              <w:left w:val="nil"/>
              <w:bottom w:val="single" w:color="auto" w:sz="4" w:space="0"/>
              <w:right w:val="single" w:color="auto" w:sz="4" w:space="0"/>
            </w:tcBorders>
            <w:noWrap w:val="0"/>
            <w:vAlign w:val="center"/>
          </w:tcPr>
          <w:p w14:paraId="106348D9">
            <w:pPr>
              <w:spacing w:line="340" w:lineRule="exact"/>
              <w:jc w:val="center"/>
              <w:rPr>
                <w:rFonts w:hint="eastAsia" w:ascii="仿宋_GB2312" w:hAnsi="仿宋_GB2312" w:eastAsia="仿宋_GB2312" w:cs="仿宋_GB2312"/>
                <w:sz w:val="24"/>
                <w:szCs w:val="24"/>
                <w:highlight w:val="none"/>
              </w:rPr>
            </w:pPr>
          </w:p>
        </w:tc>
        <w:tc>
          <w:tcPr>
            <w:tcW w:w="1512" w:type="dxa"/>
            <w:tcBorders>
              <w:top w:val="single" w:color="auto" w:sz="4" w:space="0"/>
              <w:left w:val="nil"/>
              <w:bottom w:val="single" w:color="auto" w:sz="4" w:space="0"/>
              <w:right w:val="single" w:color="auto" w:sz="4" w:space="0"/>
            </w:tcBorders>
            <w:noWrap w:val="0"/>
            <w:vAlign w:val="center"/>
          </w:tcPr>
          <w:p w14:paraId="1903A5CA">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民 族</w:t>
            </w:r>
          </w:p>
        </w:tc>
        <w:tc>
          <w:tcPr>
            <w:tcW w:w="3133" w:type="dxa"/>
            <w:tcBorders>
              <w:top w:val="single" w:color="auto" w:sz="4" w:space="0"/>
              <w:left w:val="nil"/>
              <w:bottom w:val="single" w:color="auto" w:sz="4" w:space="0"/>
              <w:right w:val="single" w:color="auto" w:sz="4" w:space="0"/>
            </w:tcBorders>
            <w:noWrap w:val="0"/>
            <w:vAlign w:val="center"/>
          </w:tcPr>
          <w:p w14:paraId="4D0D3CB5">
            <w:pPr>
              <w:spacing w:line="340" w:lineRule="exact"/>
              <w:jc w:val="center"/>
              <w:rPr>
                <w:rFonts w:hint="eastAsia" w:ascii="仿宋_GB2312" w:hAnsi="仿宋_GB2312" w:eastAsia="仿宋_GB2312" w:cs="仿宋_GB2312"/>
                <w:sz w:val="24"/>
                <w:szCs w:val="24"/>
                <w:highlight w:val="none"/>
              </w:rPr>
            </w:pPr>
          </w:p>
        </w:tc>
      </w:tr>
      <w:tr w14:paraId="2BC537D4">
        <w:tblPrEx>
          <w:tblCellMar>
            <w:top w:w="0" w:type="dxa"/>
            <w:left w:w="108" w:type="dxa"/>
            <w:bottom w:w="0" w:type="dxa"/>
            <w:right w:w="108" w:type="dxa"/>
          </w:tblCellMar>
        </w:tblPrEx>
        <w:trPr>
          <w:trHeight w:val="4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0C916731">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5659E25A">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参保地</w:t>
            </w:r>
          </w:p>
        </w:tc>
        <w:tc>
          <w:tcPr>
            <w:tcW w:w="2001" w:type="dxa"/>
            <w:tcBorders>
              <w:top w:val="single" w:color="auto" w:sz="4" w:space="0"/>
              <w:left w:val="nil"/>
              <w:bottom w:val="single" w:color="auto" w:sz="4" w:space="0"/>
              <w:right w:val="single" w:color="auto" w:sz="4" w:space="0"/>
            </w:tcBorders>
            <w:noWrap w:val="0"/>
            <w:vAlign w:val="center"/>
          </w:tcPr>
          <w:p w14:paraId="7D136CE9">
            <w:pPr>
              <w:spacing w:line="340" w:lineRule="exact"/>
              <w:jc w:val="center"/>
              <w:rPr>
                <w:rFonts w:hint="eastAsia" w:ascii="仿宋_GB2312" w:hAnsi="仿宋_GB2312" w:eastAsia="仿宋_GB2312" w:cs="仿宋_GB2312"/>
                <w:sz w:val="24"/>
                <w:szCs w:val="24"/>
                <w:highlight w:val="none"/>
              </w:rPr>
            </w:pPr>
          </w:p>
        </w:tc>
        <w:tc>
          <w:tcPr>
            <w:tcW w:w="1512" w:type="dxa"/>
            <w:tcBorders>
              <w:top w:val="single" w:color="auto" w:sz="4" w:space="0"/>
              <w:left w:val="nil"/>
              <w:bottom w:val="single" w:color="auto" w:sz="4" w:space="0"/>
              <w:right w:val="single" w:color="auto" w:sz="4" w:space="0"/>
            </w:tcBorders>
            <w:noWrap w:val="0"/>
            <w:vAlign w:val="center"/>
          </w:tcPr>
          <w:p w14:paraId="41F3A855">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申请事项</w:t>
            </w:r>
          </w:p>
        </w:tc>
        <w:tc>
          <w:tcPr>
            <w:tcW w:w="3133" w:type="dxa"/>
            <w:tcBorders>
              <w:top w:val="single" w:color="auto" w:sz="4" w:space="0"/>
              <w:left w:val="nil"/>
              <w:bottom w:val="single" w:color="auto" w:sz="4" w:space="0"/>
              <w:right w:val="single" w:color="auto" w:sz="4" w:space="0"/>
            </w:tcBorders>
            <w:noWrap w:val="0"/>
            <w:vAlign w:val="center"/>
          </w:tcPr>
          <w:p w14:paraId="5A1954A8">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 xml:space="preserve">□失能评估     </w:t>
            </w:r>
          </w:p>
        </w:tc>
      </w:tr>
      <w:tr w14:paraId="2C683F4E">
        <w:tblPrEx>
          <w:tblCellMar>
            <w:top w:w="0" w:type="dxa"/>
            <w:left w:w="108" w:type="dxa"/>
            <w:bottom w:w="0" w:type="dxa"/>
            <w:right w:w="108" w:type="dxa"/>
          </w:tblCellMar>
        </w:tblPrEx>
        <w:trPr>
          <w:trHeight w:val="8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6DF047C7">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top"/>
          </w:tcPr>
          <w:p w14:paraId="0336C889">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失能时间（月）</w:t>
            </w:r>
          </w:p>
        </w:tc>
        <w:tc>
          <w:tcPr>
            <w:tcW w:w="2001" w:type="dxa"/>
            <w:tcBorders>
              <w:top w:val="single" w:color="auto" w:sz="4" w:space="0"/>
              <w:left w:val="nil"/>
              <w:bottom w:val="single" w:color="auto" w:sz="4" w:space="0"/>
              <w:right w:val="single" w:color="auto" w:sz="4" w:space="0"/>
            </w:tcBorders>
            <w:noWrap w:val="0"/>
            <w:vAlign w:val="top"/>
          </w:tcPr>
          <w:p w14:paraId="064CA125">
            <w:pPr>
              <w:spacing w:line="340" w:lineRule="exact"/>
              <w:jc w:val="center"/>
              <w:rPr>
                <w:rFonts w:hint="eastAsia" w:ascii="仿宋_GB2312" w:hAnsi="仿宋_GB2312" w:eastAsia="仿宋_GB2312" w:cs="仿宋_GB2312"/>
                <w:sz w:val="24"/>
                <w:szCs w:val="24"/>
                <w:highlight w:val="none"/>
              </w:rPr>
            </w:pPr>
          </w:p>
        </w:tc>
        <w:tc>
          <w:tcPr>
            <w:tcW w:w="1512" w:type="dxa"/>
            <w:tcBorders>
              <w:top w:val="single" w:color="auto" w:sz="4" w:space="0"/>
              <w:left w:val="nil"/>
              <w:bottom w:val="single" w:color="auto" w:sz="4" w:space="0"/>
              <w:right w:val="single" w:color="auto" w:sz="4" w:space="0"/>
            </w:tcBorders>
            <w:noWrap w:val="0"/>
            <w:vAlign w:val="top"/>
          </w:tcPr>
          <w:p w14:paraId="6BA345F1">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是否经过</w:t>
            </w:r>
          </w:p>
          <w:p w14:paraId="05A2931D">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康复治疗</w:t>
            </w:r>
          </w:p>
        </w:tc>
        <w:tc>
          <w:tcPr>
            <w:tcW w:w="3133" w:type="dxa"/>
            <w:tcBorders>
              <w:top w:val="single" w:color="auto" w:sz="4" w:space="0"/>
              <w:left w:val="nil"/>
              <w:bottom w:val="single" w:color="auto" w:sz="4" w:space="0"/>
              <w:right w:val="single" w:color="auto" w:sz="4" w:space="0"/>
            </w:tcBorders>
            <w:noWrap w:val="0"/>
            <w:vAlign w:val="top"/>
          </w:tcPr>
          <w:p w14:paraId="1173E7ED">
            <w:pPr>
              <w:spacing w:line="340" w:lineRule="exact"/>
              <w:jc w:val="left"/>
              <w:rPr>
                <w:rFonts w:hint="eastAsia" w:ascii="仿宋_GB2312" w:hAnsi="仿宋_GB2312" w:eastAsia="仿宋_GB2312" w:cs="仿宋_GB2312"/>
                <w:sz w:val="24"/>
                <w:szCs w:val="24"/>
                <w:highlight w:val="none"/>
                <w:u w:val="single"/>
              </w:rPr>
            </w:pPr>
            <w:r>
              <w:rPr>
                <w:rFonts w:hint="eastAsia" w:ascii="仿宋_GB2312" w:hAnsi="仿宋_GB2312" w:eastAsia="仿宋_GB2312" w:cs="仿宋_GB2312"/>
                <w:sz w:val="24"/>
                <w:szCs w:val="24"/>
                <w:highlight w:val="none"/>
              </w:rPr>
              <w:t>是，治疗月数</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月</w:t>
            </w:r>
          </w:p>
          <w:p w14:paraId="2ED724A4">
            <w:pPr>
              <w:spacing w:line="340" w:lineRule="exact"/>
              <w:jc w:val="left"/>
              <w:rPr>
                <w:rFonts w:hint="eastAsia" w:ascii="仿宋_GB2312" w:hAnsi="仿宋_GB2312" w:eastAsia="仿宋_GB2312" w:cs="仿宋_GB2312"/>
                <w:sz w:val="24"/>
                <w:szCs w:val="24"/>
                <w:highlight w:val="none"/>
                <w:u w:val="single"/>
              </w:rPr>
            </w:pPr>
            <w:r>
              <w:rPr>
                <w:rFonts w:hint="eastAsia" w:ascii="仿宋_GB2312" w:hAnsi="仿宋_GB2312" w:eastAsia="仿宋_GB2312" w:cs="仿宋_GB2312"/>
                <w:sz w:val="24"/>
                <w:szCs w:val="24"/>
                <w:highlight w:val="none"/>
              </w:rPr>
              <w:t>否</w:t>
            </w:r>
          </w:p>
        </w:tc>
      </w:tr>
      <w:tr w14:paraId="5675ABF3">
        <w:tblPrEx>
          <w:tblCellMar>
            <w:top w:w="0" w:type="dxa"/>
            <w:left w:w="108" w:type="dxa"/>
            <w:bottom w:w="0" w:type="dxa"/>
            <w:right w:w="108" w:type="dxa"/>
          </w:tblCellMar>
        </w:tblPrEx>
        <w:trPr>
          <w:trHeight w:val="4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5108E65D">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51F8377A">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是否首次申请</w:t>
            </w:r>
          </w:p>
        </w:tc>
        <w:tc>
          <w:tcPr>
            <w:tcW w:w="2001" w:type="dxa"/>
            <w:tcBorders>
              <w:top w:val="single" w:color="auto" w:sz="4" w:space="0"/>
              <w:left w:val="nil"/>
              <w:bottom w:val="single" w:color="auto" w:sz="4" w:space="0"/>
              <w:right w:val="single" w:color="auto" w:sz="4" w:space="0"/>
            </w:tcBorders>
            <w:noWrap w:val="0"/>
            <w:vAlign w:val="center"/>
          </w:tcPr>
          <w:p w14:paraId="09107ABB">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□是      □否</w:t>
            </w:r>
          </w:p>
        </w:tc>
        <w:tc>
          <w:tcPr>
            <w:tcW w:w="1512" w:type="dxa"/>
            <w:tcBorders>
              <w:top w:val="single" w:color="auto" w:sz="4" w:space="0"/>
              <w:left w:val="nil"/>
              <w:bottom w:val="single" w:color="auto" w:sz="4" w:space="0"/>
              <w:right w:val="single" w:color="auto" w:sz="4" w:space="0"/>
            </w:tcBorders>
            <w:noWrap w:val="0"/>
            <w:vAlign w:val="center"/>
          </w:tcPr>
          <w:p w14:paraId="05FBB0D0">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联系电话</w:t>
            </w:r>
          </w:p>
        </w:tc>
        <w:tc>
          <w:tcPr>
            <w:tcW w:w="3133" w:type="dxa"/>
            <w:tcBorders>
              <w:top w:val="single" w:color="auto" w:sz="4" w:space="0"/>
              <w:left w:val="nil"/>
              <w:bottom w:val="single" w:color="auto" w:sz="4" w:space="0"/>
              <w:right w:val="single" w:color="auto" w:sz="4" w:space="0"/>
            </w:tcBorders>
            <w:noWrap w:val="0"/>
            <w:vAlign w:val="center"/>
          </w:tcPr>
          <w:p w14:paraId="1C88883A">
            <w:pPr>
              <w:spacing w:line="340" w:lineRule="exact"/>
              <w:jc w:val="center"/>
              <w:rPr>
                <w:rFonts w:hint="eastAsia" w:ascii="仿宋_GB2312" w:hAnsi="仿宋_GB2312" w:eastAsia="仿宋_GB2312" w:cs="仿宋_GB2312"/>
                <w:sz w:val="24"/>
                <w:szCs w:val="24"/>
                <w:highlight w:val="none"/>
              </w:rPr>
            </w:pPr>
          </w:p>
        </w:tc>
      </w:tr>
      <w:tr w14:paraId="25129A8E">
        <w:tblPrEx>
          <w:tblCellMar>
            <w:top w:w="0" w:type="dxa"/>
            <w:left w:w="108" w:type="dxa"/>
            <w:bottom w:w="0" w:type="dxa"/>
            <w:right w:w="108" w:type="dxa"/>
          </w:tblCellMar>
        </w:tblPrEx>
        <w:trPr>
          <w:trHeight w:val="4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D189B7C">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1453592D">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申请服务方式</w:t>
            </w:r>
          </w:p>
        </w:tc>
        <w:tc>
          <w:tcPr>
            <w:tcW w:w="6646" w:type="dxa"/>
            <w:gridSpan w:val="3"/>
            <w:tcBorders>
              <w:top w:val="single" w:color="auto" w:sz="4" w:space="0"/>
              <w:left w:val="nil"/>
              <w:bottom w:val="single" w:color="auto" w:sz="4" w:space="0"/>
              <w:right w:val="single" w:color="auto" w:sz="4" w:space="0"/>
            </w:tcBorders>
            <w:noWrap w:val="0"/>
            <w:vAlign w:val="center"/>
          </w:tcPr>
          <w:p w14:paraId="69D3B352">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lang w:eastAsia="zh-CN"/>
              </w:rPr>
              <w:t>机构</w:t>
            </w:r>
            <w:r>
              <w:rPr>
                <w:rFonts w:hint="eastAsia" w:ascii="仿宋_GB2312" w:hAnsi="仿宋_GB2312" w:eastAsia="仿宋_GB2312" w:cs="仿宋_GB2312"/>
                <w:sz w:val="24"/>
                <w:szCs w:val="24"/>
                <w:highlight w:val="none"/>
              </w:rPr>
              <w:t>护理      □</w:t>
            </w:r>
            <w:r>
              <w:rPr>
                <w:rFonts w:hint="eastAsia" w:ascii="仿宋_GB2312" w:hAnsi="仿宋_GB2312" w:eastAsia="仿宋_GB2312" w:cs="仿宋_GB2312"/>
                <w:sz w:val="24"/>
                <w:szCs w:val="24"/>
                <w:highlight w:val="none"/>
                <w:lang w:eastAsia="zh-CN"/>
              </w:rPr>
              <w:t>社区</w:t>
            </w:r>
            <w:r>
              <w:rPr>
                <w:rFonts w:hint="eastAsia" w:ascii="仿宋_GB2312" w:hAnsi="仿宋_GB2312" w:eastAsia="仿宋_GB2312" w:cs="仿宋_GB2312"/>
                <w:sz w:val="24"/>
                <w:szCs w:val="24"/>
                <w:highlight w:val="none"/>
              </w:rPr>
              <w:t>护理      □</w:t>
            </w:r>
            <w:r>
              <w:rPr>
                <w:rFonts w:hint="eastAsia" w:ascii="仿宋_GB2312" w:hAnsi="仿宋_GB2312" w:eastAsia="仿宋_GB2312" w:cs="仿宋_GB2312"/>
                <w:sz w:val="24"/>
                <w:szCs w:val="24"/>
                <w:highlight w:val="none"/>
                <w:lang w:eastAsia="zh-CN"/>
              </w:rPr>
              <w:t>居家护理</w:t>
            </w:r>
            <w:r>
              <w:rPr>
                <w:rFonts w:hint="eastAsia" w:ascii="仿宋_GB2312" w:hAnsi="仿宋_GB2312" w:eastAsia="仿宋_GB2312" w:cs="仿宋_GB2312"/>
                <w:sz w:val="24"/>
                <w:szCs w:val="24"/>
                <w:highlight w:val="none"/>
              </w:rPr>
              <w:t xml:space="preserve">   </w:t>
            </w:r>
          </w:p>
        </w:tc>
      </w:tr>
      <w:tr w14:paraId="25E03093">
        <w:tblPrEx>
          <w:tblCellMar>
            <w:top w:w="0" w:type="dxa"/>
            <w:left w:w="108" w:type="dxa"/>
            <w:bottom w:w="0" w:type="dxa"/>
            <w:right w:w="108" w:type="dxa"/>
          </w:tblCellMar>
        </w:tblPrEx>
        <w:trPr>
          <w:trHeight w:val="4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6118163">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7F3AEDE4">
            <w:pPr>
              <w:spacing w:line="340" w:lineRule="exact"/>
              <w:jc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定点长护服务机构</w:t>
            </w:r>
          </w:p>
        </w:tc>
        <w:tc>
          <w:tcPr>
            <w:tcW w:w="6646" w:type="dxa"/>
            <w:gridSpan w:val="3"/>
            <w:tcBorders>
              <w:top w:val="single" w:color="auto" w:sz="4" w:space="0"/>
              <w:left w:val="nil"/>
              <w:bottom w:val="single" w:color="auto" w:sz="4" w:space="0"/>
              <w:right w:val="single" w:color="auto" w:sz="4" w:space="0"/>
            </w:tcBorders>
            <w:noWrap w:val="0"/>
            <w:vAlign w:val="center"/>
          </w:tcPr>
          <w:p w14:paraId="773115B2">
            <w:pPr>
              <w:spacing w:line="340" w:lineRule="exact"/>
              <w:rPr>
                <w:rFonts w:hint="eastAsia" w:ascii="仿宋_GB2312" w:hAnsi="仿宋_GB2312" w:eastAsia="仿宋_GB2312" w:cs="仿宋_GB2312"/>
                <w:sz w:val="24"/>
                <w:szCs w:val="24"/>
                <w:highlight w:val="none"/>
              </w:rPr>
            </w:pPr>
          </w:p>
        </w:tc>
      </w:tr>
      <w:tr w14:paraId="25FC18BB">
        <w:tblPrEx>
          <w:tblCellMar>
            <w:top w:w="0" w:type="dxa"/>
            <w:left w:w="108" w:type="dxa"/>
            <w:bottom w:w="0" w:type="dxa"/>
            <w:right w:w="108" w:type="dxa"/>
          </w:tblCellMar>
        </w:tblPrEx>
        <w:trPr>
          <w:trHeight w:val="4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4211681F">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2A0D4612">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文化程度</w:t>
            </w:r>
          </w:p>
        </w:tc>
        <w:tc>
          <w:tcPr>
            <w:tcW w:w="6646" w:type="dxa"/>
            <w:gridSpan w:val="3"/>
            <w:tcBorders>
              <w:top w:val="single" w:color="auto" w:sz="4" w:space="0"/>
              <w:left w:val="nil"/>
              <w:bottom w:val="single" w:color="auto" w:sz="4" w:space="0"/>
              <w:right w:val="single" w:color="auto" w:sz="4" w:space="0"/>
            </w:tcBorders>
            <w:noWrap w:val="0"/>
            <w:vAlign w:val="center"/>
          </w:tcPr>
          <w:p w14:paraId="3AB008B3">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□文盲 □小学 □中学（含中专） □大学（含大专）以上</w:t>
            </w:r>
          </w:p>
        </w:tc>
      </w:tr>
      <w:tr w14:paraId="514A3EF0">
        <w:tblPrEx>
          <w:tblCellMar>
            <w:top w:w="0" w:type="dxa"/>
            <w:left w:w="108" w:type="dxa"/>
            <w:bottom w:w="0" w:type="dxa"/>
            <w:right w:w="108" w:type="dxa"/>
          </w:tblCellMar>
        </w:tblPrEx>
        <w:trPr>
          <w:trHeight w:val="121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53AED4D4">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68DE3F6C">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居住情况</w:t>
            </w:r>
          </w:p>
        </w:tc>
        <w:tc>
          <w:tcPr>
            <w:tcW w:w="6646" w:type="dxa"/>
            <w:gridSpan w:val="3"/>
            <w:tcBorders>
              <w:top w:val="single" w:color="auto" w:sz="4" w:space="0"/>
              <w:left w:val="nil"/>
              <w:bottom w:val="single" w:color="auto" w:sz="4" w:space="0"/>
              <w:right w:val="single" w:color="auto" w:sz="4" w:space="0"/>
            </w:tcBorders>
            <w:noWrap w:val="0"/>
            <w:vAlign w:val="center"/>
          </w:tcPr>
          <w:p w14:paraId="203F9CD8">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□独居  □与配偶/伴侣居住  □与子女居住  □与父母居住</w:t>
            </w:r>
          </w:p>
          <w:p w14:paraId="72210139">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□与兄弟姐妹居住           □与其他亲戚居住</w:t>
            </w:r>
          </w:p>
          <w:p w14:paraId="7B3B8190">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□与非亲属关系的人居住     □养老机构    □医院</w:t>
            </w:r>
          </w:p>
        </w:tc>
      </w:tr>
      <w:tr w14:paraId="2149E2FD">
        <w:tblPrEx>
          <w:tblCellMar>
            <w:top w:w="0" w:type="dxa"/>
            <w:left w:w="108" w:type="dxa"/>
            <w:bottom w:w="0" w:type="dxa"/>
            <w:right w:w="108" w:type="dxa"/>
          </w:tblCellMar>
        </w:tblPrEx>
        <w:trPr>
          <w:trHeight w:val="811"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51B09FEE">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3D3AA122">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居住地址</w:t>
            </w:r>
          </w:p>
        </w:tc>
        <w:tc>
          <w:tcPr>
            <w:tcW w:w="6646" w:type="dxa"/>
            <w:gridSpan w:val="3"/>
            <w:tcBorders>
              <w:top w:val="single" w:color="auto" w:sz="4" w:space="0"/>
              <w:left w:val="nil"/>
              <w:bottom w:val="single" w:color="auto" w:sz="4" w:space="0"/>
              <w:right w:val="single" w:color="auto" w:sz="4" w:space="0"/>
            </w:tcBorders>
            <w:noWrap w:val="0"/>
            <w:vAlign w:val="center"/>
          </w:tcPr>
          <w:p w14:paraId="6DD28720">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rPr>
              <w:t>市</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县</w:t>
            </w:r>
            <w:r>
              <w:rPr>
                <w:rFonts w:hint="eastAsia" w:ascii="仿宋_GB2312" w:hAnsi="仿宋_GB2312" w:eastAsia="仿宋_GB2312" w:cs="仿宋_GB2312"/>
                <w:sz w:val="24"/>
                <w:szCs w:val="24"/>
                <w:highlight w:val="none"/>
                <w:lang w:eastAsia="zh-CN"/>
              </w:rPr>
              <w:t>（市、区）</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rPr>
              <w:t>乡</w:t>
            </w:r>
            <w:r>
              <w:rPr>
                <w:rFonts w:hint="eastAsia" w:ascii="仿宋_GB2312" w:hAnsi="仿宋_GB2312" w:eastAsia="仿宋_GB2312" w:cs="仿宋_GB2312"/>
                <w:sz w:val="24"/>
                <w:szCs w:val="24"/>
                <w:highlight w:val="none"/>
                <w:lang w:eastAsia="zh-CN"/>
              </w:rPr>
              <w:t>镇（街道、社区）</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none"/>
                <w:lang w:eastAsia="zh-CN"/>
              </w:rPr>
              <w:t>村</w:t>
            </w:r>
          </w:p>
        </w:tc>
      </w:tr>
      <w:tr w14:paraId="1F6F7364">
        <w:tblPrEx>
          <w:tblCellMar>
            <w:top w:w="0" w:type="dxa"/>
            <w:left w:w="108" w:type="dxa"/>
            <w:bottom w:w="0" w:type="dxa"/>
            <w:right w:w="108" w:type="dxa"/>
          </w:tblCellMar>
        </w:tblPrEx>
        <w:trPr>
          <w:trHeight w:val="1210" w:hRule="atLeast"/>
          <w:jc w:val="center"/>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7EC87A88">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16A52427">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日常</w:t>
            </w:r>
            <w:r>
              <w:rPr>
                <w:rFonts w:hint="eastAsia" w:ascii="仿宋_GB2312" w:hAnsi="仿宋_GB2312" w:eastAsia="仿宋_GB2312" w:cs="仿宋_GB2312"/>
                <w:sz w:val="24"/>
                <w:szCs w:val="24"/>
                <w:highlight w:val="none"/>
              </w:rPr>
              <w:t>护理者</w:t>
            </w:r>
          </w:p>
        </w:tc>
        <w:tc>
          <w:tcPr>
            <w:tcW w:w="6646" w:type="dxa"/>
            <w:gridSpan w:val="3"/>
            <w:tcBorders>
              <w:top w:val="single" w:color="auto" w:sz="4" w:space="0"/>
              <w:left w:val="nil"/>
              <w:bottom w:val="single" w:color="auto" w:sz="4" w:space="0"/>
              <w:right w:val="single" w:color="auto" w:sz="4" w:space="0"/>
            </w:tcBorders>
            <w:noWrap w:val="0"/>
            <w:vAlign w:val="center"/>
          </w:tcPr>
          <w:p w14:paraId="6E1680C8">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当需要帮助时（包括患病时），谁能来照料：</w:t>
            </w:r>
          </w:p>
          <w:p w14:paraId="2A5908B5">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□配偶   □子女   □亲友   □保姆   □护工</w:t>
            </w:r>
          </w:p>
          <w:p w14:paraId="3BB05387">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□医疗人员        □没有任何人      □其他</w:t>
            </w:r>
          </w:p>
        </w:tc>
      </w:tr>
      <w:tr w14:paraId="3F95F085">
        <w:tblPrEx>
          <w:tblCellMar>
            <w:top w:w="0" w:type="dxa"/>
            <w:left w:w="108" w:type="dxa"/>
            <w:bottom w:w="0" w:type="dxa"/>
            <w:right w:w="108" w:type="dxa"/>
          </w:tblCellMar>
        </w:tblPrEx>
        <w:trPr>
          <w:trHeight w:val="1210" w:hRule="atLeast"/>
          <w:jc w:val="center"/>
        </w:trPr>
        <w:tc>
          <w:tcPr>
            <w:tcW w:w="597" w:type="dxa"/>
            <w:vMerge w:val="restart"/>
            <w:tcBorders>
              <w:top w:val="nil"/>
              <w:left w:val="single" w:color="auto" w:sz="4" w:space="0"/>
              <w:bottom w:val="single" w:color="auto" w:sz="4" w:space="0"/>
              <w:right w:val="single" w:color="auto" w:sz="4" w:space="0"/>
            </w:tcBorders>
            <w:noWrap w:val="0"/>
            <w:vAlign w:val="center"/>
          </w:tcPr>
          <w:p w14:paraId="4FEC55DD">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申</w:t>
            </w:r>
          </w:p>
          <w:p w14:paraId="007A3B0C">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请</w:t>
            </w:r>
          </w:p>
          <w:p w14:paraId="37A54E3C">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人</w:t>
            </w:r>
          </w:p>
          <w:p w14:paraId="007F5D65">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相</w:t>
            </w:r>
          </w:p>
          <w:p w14:paraId="072BE8FC">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关</w:t>
            </w:r>
          </w:p>
          <w:p w14:paraId="4EE78C33">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信</w:t>
            </w:r>
          </w:p>
          <w:p w14:paraId="39E12C72">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息</w:t>
            </w:r>
          </w:p>
        </w:tc>
        <w:tc>
          <w:tcPr>
            <w:tcW w:w="2294" w:type="dxa"/>
            <w:tcBorders>
              <w:top w:val="single" w:color="auto" w:sz="4" w:space="0"/>
              <w:left w:val="nil"/>
              <w:bottom w:val="single" w:color="auto" w:sz="4" w:space="0"/>
              <w:right w:val="single" w:color="auto" w:sz="4" w:space="0"/>
            </w:tcBorders>
            <w:noWrap w:val="0"/>
            <w:vAlign w:val="center"/>
          </w:tcPr>
          <w:p w14:paraId="629BEF04">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姓名</w:t>
            </w:r>
          </w:p>
        </w:tc>
        <w:tc>
          <w:tcPr>
            <w:tcW w:w="2001" w:type="dxa"/>
            <w:tcBorders>
              <w:top w:val="single" w:color="auto" w:sz="4" w:space="0"/>
              <w:left w:val="nil"/>
              <w:bottom w:val="single" w:color="auto" w:sz="4" w:space="0"/>
              <w:right w:val="single" w:color="auto" w:sz="4" w:space="0"/>
            </w:tcBorders>
            <w:noWrap w:val="0"/>
            <w:vAlign w:val="center"/>
          </w:tcPr>
          <w:p w14:paraId="406BE8BC">
            <w:pPr>
              <w:spacing w:line="340" w:lineRule="exact"/>
              <w:jc w:val="center"/>
              <w:rPr>
                <w:rFonts w:hint="eastAsia" w:ascii="仿宋_GB2312" w:hAnsi="仿宋_GB2312" w:eastAsia="仿宋_GB2312" w:cs="仿宋_GB2312"/>
                <w:sz w:val="24"/>
                <w:szCs w:val="24"/>
                <w:highlight w:val="none"/>
              </w:rPr>
            </w:pPr>
          </w:p>
        </w:tc>
        <w:tc>
          <w:tcPr>
            <w:tcW w:w="1512" w:type="dxa"/>
            <w:tcBorders>
              <w:top w:val="single" w:color="auto" w:sz="4" w:space="0"/>
              <w:left w:val="nil"/>
              <w:bottom w:val="single" w:color="auto" w:sz="4" w:space="0"/>
              <w:right w:val="single" w:color="auto" w:sz="4" w:space="0"/>
            </w:tcBorders>
            <w:noWrap w:val="0"/>
            <w:vAlign w:val="center"/>
          </w:tcPr>
          <w:p w14:paraId="617A1D28">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与参保人员关系</w:t>
            </w:r>
          </w:p>
        </w:tc>
        <w:tc>
          <w:tcPr>
            <w:tcW w:w="3133" w:type="dxa"/>
            <w:tcBorders>
              <w:top w:val="single" w:color="auto" w:sz="4" w:space="0"/>
              <w:left w:val="nil"/>
              <w:bottom w:val="single" w:color="auto" w:sz="4" w:space="0"/>
              <w:right w:val="single" w:color="auto" w:sz="4" w:space="0"/>
            </w:tcBorders>
            <w:noWrap w:val="0"/>
            <w:vAlign w:val="center"/>
          </w:tcPr>
          <w:p w14:paraId="231798DD">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□配偶 □子女 □其他亲属 □雇佣护理者 □参保人员 □其他</w:t>
            </w:r>
          </w:p>
        </w:tc>
      </w:tr>
      <w:tr w14:paraId="72630223">
        <w:tblPrEx>
          <w:tblCellMar>
            <w:top w:w="0" w:type="dxa"/>
            <w:left w:w="108" w:type="dxa"/>
            <w:bottom w:w="0" w:type="dxa"/>
            <w:right w:w="108" w:type="dxa"/>
          </w:tblCellMar>
        </w:tblPrEx>
        <w:trPr>
          <w:trHeight w:val="411" w:hRule="atLeast"/>
          <w:jc w:val="center"/>
        </w:trPr>
        <w:tc>
          <w:tcPr>
            <w:tcW w:w="0" w:type="auto"/>
            <w:vMerge w:val="continue"/>
            <w:tcBorders>
              <w:top w:val="nil"/>
              <w:left w:val="single" w:color="auto" w:sz="4" w:space="0"/>
              <w:bottom w:val="single" w:color="auto" w:sz="4" w:space="0"/>
              <w:right w:val="single" w:color="auto" w:sz="4" w:space="0"/>
            </w:tcBorders>
            <w:noWrap w:val="0"/>
            <w:vAlign w:val="center"/>
          </w:tcPr>
          <w:p w14:paraId="0C97C091">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3070A1CD">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联系电话</w:t>
            </w:r>
          </w:p>
        </w:tc>
        <w:tc>
          <w:tcPr>
            <w:tcW w:w="2001" w:type="dxa"/>
            <w:tcBorders>
              <w:top w:val="single" w:color="auto" w:sz="4" w:space="0"/>
              <w:left w:val="nil"/>
              <w:bottom w:val="single" w:color="auto" w:sz="4" w:space="0"/>
              <w:right w:val="single" w:color="auto" w:sz="4" w:space="0"/>
            </w:tcBorders>
            <w:noWrap w:val="0"/>
            <w:vAlign w:val="center"/>
          </w:tcPr>
          <w:p w14:paraId="2B2B0E26">
            <w:pPr>
              <w:spacing w:line="340" w:lineRule="exact"/>
              <w:jc w:val="center"/>
              <w:rPr>
                <w:rFonts w:hint="eastAsia" w:ascii="仿宋_GB2312" w:hAnsi="仿宋_GB2312" w:eastAsia="仿宋_GB2312" w:cs="仿宋_GB2312"/>
                <w:sz w:val="24"/>
                <w:szCs w:val="24"/>
                <w:highlight w:val="none"/>
              </w:rPr>
            </w:pPr>
          </w:p>
        </w:tc>
        <w:tc>
          <w:tcPr>
            <w:tcW w:w="1512" w:type="dxa"/>
            <w:tcBorders>
              <w:top w:val="single" w:color="auto" w:sz="4" w:space="0"/>
              <w:left w:val="nil"/>
              <w:bottom w:val="single" w:color="auto" w:sz="4" w:space="0"/>
              <w:right w:val="single" w:color="auto" w:sz="4" w:space="0"/>
            </w:tcBorders>
            <w:noWrap w:val="0"/>
            <w:vAlign w:val="center"/>
          </w:tcPr>
          <w:p w14:paraId="2ED7AF75">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身份证号</w:t>
            </w:r>
          </w:p>
        </w:tc>
        <w:tc>
          <w:tcPr>
            <w:tcW w:w="3133" w:type="dxa"/>
            <w:tcBorders>
              <w:top w:val="single" w:color="auto" w:sz="4" w:space="0"/>
              <w:left w:val="nil"/>
              <w:bottom w:val="single" w:color="auto" w:sz="4" w:space="0"/>
              <w:right w:val="single" w:color="auto" w:sz="4" w:space="0"/>
            </w:tcBorders>
            <w:noWrap w:val="0"/>
            <w:vAlign w:val="center"/>
          </w:tcPr>
          <w:p w14:paraId="75CAF39A">
            <w:pPr>
              <w:spacing w:line="340" w:lineRule="exact"/>
              <w:rPr>
                <w:rFonts w:hint="eastAsia" w:ascii="仿宋_GB2312" w:hAnsi="仿宋_GB2312" w:eastAsia="仿宋_GB2312" w:cs="仿宋_GB2312"/>
                <w:sz w:val="24"/>
                <w:szCs w:val="24"/>
                <w:highlight w:val="none"/>
              </w:rPr>
            </w:pPr>
          </w:p>
        </w:tc>
      </w:tr>
      <w:tr w14:paraId="05401833">
        <w:tblPrEx>
          <w:tblCellMar>
            <w:top w:w="0" w:type="dxa"/>
            <w:left w:w="108" w:type="dxa"/>
            <w:bottom w:w="0" w:type="dxa"/>
            <w:right w:w="108" w:type="dxa"/>
          </w:tblCellMar>
        </w:tblPrEx>
        <w:trPr>
          <w:trHeight w:val="1187" w:hRule="atLeast"/>
          <w:jc w:val="center"/>
        </w:trPr>
        <w:tc>
          <w:tcPr>
            <w:tcW w:w="0" w:type="auto"/>
            <w:vMerge w:val="continue"/>
            <w:tcBorders>
              <w:top w:val="nil"/>
              <w:left w:val="single" w:color="auto" w:sz="4" w:space="0"/>
              <w:bottom w:val="single" w:color="auto" w:sz="4" w:space="0"/>
              <w:right w:val="single" w:color="auto" w:sz="4" w:space="0"/>
            </w:tcBorders>
            <w:noWrap w:val="0"/>
            <w:vAlign w:val="center"/>
          </w:tcPr>
          <w:p w14:paraId="7E3002EC">
            <w:pPr>
              <w:jc w:val="left"/>
              <w:rPr>
                <w:rFonts w:hint="eastAsia" w:ascii="仿宋_GB2312" w:hAnsi="仿宋_GB2312" w:eastAsia="仿宋_GB2312" w:cs="仿宋_GB2312"/>
                <w:sz w:val="24"/>
                <w:szCs w:val="24"/>
                <w:highlight w:val="none"/>
              </w:rPr>
            </w:pPr>
          </w:p>
        </w:tc>
        <w:tc>
          <w:tcPr>
            <w:tcW w:w="2294" w:type="dxa"/>
            <w:tcBorders>
              <w:top w:val="single" w:color="auto" w:sz="4" w:space="0"/>
              <w:left w:val="nil"/>
              <w:bottom w:val="single" w:color="auto" w:sz="4" w:space="0"/>
              <w:right w:val="single" w:color="auto" w:sz="4" w:space="0"/>
            </w:tcBorders>
            <w:noWrap w:val="0"/>
            <w:vAlign w:val="center"/>
          </w:tcPr>
          <w:p w14:paraId="125A905C">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联系地址</w:t>
            </w:r>
          </w:p>
        </w:tc>
        <w:tc>
          <w:tcPr>
            <w:tcW w:w="6646" w:type="dxa"/>
            <w:gridSpan w:val="3"/>
            <w:tcBorders>
              <w:top w:val="single" w:color="auto" w:sz="4" w:space="0"/>
              <w:left w:val="nil"/>
              <w:bottom w:val="single" w:color="auto" w:sz="4" w:space="0"/>
              <w:right w:val="single" w:color="auto" w:sz="4" w:space="0"/>
            </w:tcBorders>
            <w:noWrap w:val="0"/>
            <w:vAlign w:val="center"/>
          </w:tcPr>
          <w:p w14:paraId="7463DA65">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市</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县</w:t>
            </w:r>
            <w:r>
              <w:rPr>
                <w:rFonts w:hint="eastAsia" w:ascii="仿宋_GB2312" w:hAnsi="仿宋_GB2312" w:eastAsia="仿宋_GB2312" w:cs="仿宋_GB2312"/>
                <w:sz w:val="24"/>
                <w:szCs w:val="24"/>
                <w:highlight w:val="none"/>
                <w:lang w:eastAsia="zh-CN"/>
              </w:rPr>
              <w:t>（市、区）</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single"/>
                <w:lang w:val="en-US" w:eastAsia="zh-CN"/>
              </w:rPr>
              <w:t xml:space="preserve">     </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rPr>
              <w:t>乡</w:t>
            </w:r>
            <w:r>
              <w:rPr>
                <w:rFonts w:hint="eastAsia" w:ascii="仿宋_GB2312" w:hAnsi="仿宋_GB2312" w:eastAsia="仿宋_GB2312" w:cs="仿宋_GB2312"/>
                <w:sz w:val="24"/>
                <w:szCs w:val="24"/>
                <w:highlight w:val="none"/>
                <w:lang w:eastAsia="zh-CN"/>
              </w:rPr>
              <w:t>镇（街道、社区）</w:t>
            </w:r>
            <w:r>
              <w:rPr>
                <w:rFonts w:hint="eastAsia" w:ascii="仿宋_GB2312" w:hAnsi="仿宋_GB2312" w:eastAsia="仿宋_GB2312" w:cs="仿宋_GB2312"/>
                <w:sz w:val="24"/>
                <w:szCs w:val="24"/>
                <w:highlight w:val="none"/>
                <w:u w:val="single"/>
              </w:rPr>
              <w:t xml:space="preserve">          </w:t>
            </w:r>
            <w:r>
              <w:rPr>
                <w:rFonts w:hint="eastAsia" w:ascii="仿宋_GB2312" w:hAnsi="仿宋_GB2312" w:eastAsia="仿宋_GB2312" w:cs="仿宋_GB2312"/>
                <w:sz w:val="24"/>
                <w:szCs w:val="24"/>
                <w:highlight w:val="none"/>
                <w:u w:val="none"/>
                <w:lang w:eastAsia="zh-CN"/>
              </w:rPr>
              <w:t>村</w:t>
            </w:r>
          </w:p>
        </w:tc>
      </w:tr>
      <w:tr w14:paraId="47C669AE">
        <w:tblPrEx>
          <w:tblCellMar>
            <w:top w:w="0" w:type="dxa"/>
            <w:left w:w="108" w:type="dxa"/>
            <w:bottom w:w="0" w:type="dxa"/>
            <w:right w:w="108" w:type="dxa"/>
          </w:tblCellMar>
        </w:tblPrEx>
        <w:trPr>
          <w:trHeight w:val="1622" w:hRule="atLeast"/>
          <w:jc w:val="center"/>
        </w:trPr>
        <w:tc>
          <w:tcPr>
            <w:tcW w:w="2891" w:type="dxa"/>
            <w:gridSpan w:val="2"/>
            <w:tcBorders>
              <w:top w:val="single" w:color="auto" w:sz="4" w:space="0"/>
              <w:left w:val="single" w:color="auto" w:sz="4" w:space="0"/>
              <w:bottom w:val="single" w:color="auto" w:sz="4" w:space="0"/>
              <w:right w:val="single" w:color="auto" w:sz="4" w:space="0"/>
            </w:tcBorders>
            <w:noWrap w:val="0"/>
            <w:vAlign w:val="center"/>
          </w:tcPr>
          <w:p w14:paraId="26E20B54">
            <w:pPr>
              <w:spacing w:line="340" w:lineRule="exact"/>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承诺事项</w:t>
            </w:r>
          </w:p>
        </w:tc>
        <w:tc>
          <w:tcPr>
            <w:tcW w:w="6646" w:type="dxa"/>
            <w:gridSpan w:val="3"/>
            <w:tcBorders>
              <w:top w:val="single" w:color="auto" w:sz="4" w:space="0"/>
              <w:left w:val="nil"/>
              <w:bottom w:val="single" w:color="auto" w:sz="4" w:space="0"/>
              <w:right w:val="single" w:color="auto" w:sz="4" w:space="0"/>
            </w:tcBorders>
            <w:noWrap w:val="0"/>
            <w:vAlign w:val="center"/>
          </w:tcPr>
          <w:p w14:paraId="50C27B3D">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以上情况和所提供材料均真实有效，且同意将评估结果在一定范围内公示。如有不实，参保人员愿意承担相应法律责任。</w:t>
            </w:r>
          </w:p>
          <w:p w14:paraId="5C3EADFD">
            <w:pPr>
              <w:spacing w:line="340" w:lineRule="exact"/>
              <w:rPr>
                <w:rFonts w:hint="eastAsia" w:ascii="仿宋_GB2312" w:hAnsi="仿宋_GB2312" w:eastAsia="仿宋_GB2312" w:cs="仿宋_GB2312"/>
                <w:sz w:val="24"/>
                <w:szCs w:val="24"/>
                <w:highlight w:val="none"/>
              </w:rPr>
            </w:pPr>
          </w:p>
          <w:p w14:paraId="1D36DD70">
            <w:pPr>
              <w:spacing w:line="340" w:lineRule="exact"/>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参保人员</w:t>
            </w:r>
            <w:r>
              <w:rPr>
                <w:rFonts w:hint="eastAsia" w:ascii="仿宋_GB2312" w:hAnsi="仿宋_GB2312" w:cs="仿宋_GB2312"/>
                <w:sz w:val="24"/>
                <w:szCs w:val="24"/>
                <w:highlight w:val="none"/>
                <w:lang w:eastAsia="zh-CN"/>
              </w:rPr>
              <w:t>（</w:t>
            </w:r>
            <w:r>
              <w:rPr>
                <w:rFonts w:hint="eastAsia" w:ascii="仿宋_GB2312" w:hAnsi="仿宋_GB2312" w:eastAsia="仿宋_GB2312" w:cs="仿宋_GB2312"/>
                <w:sz w:val="24"/>
                <w:szCs w:val="24"/>
                <w:highlight w:val="none"/>
              </w:rPr>
              <w:t>签字</w:t>
            </w:r>
            <w:r>
              <w:rPr>
                <w:rFonts w:hint="eastAsia" w:ascii="仿宋_GB2312" w:hAnsi="仿宋_GB2312" w:cs="仿宋_GB2312"/>
                <w:sz w:val="24"/>
                <w:szCs w:val="24"/>
                <w:highlight w:val="none"/>
                <w:lang w:eastAsia="zh-CN"/>
              </w:rPr>
              <w:t>）</w:t>
            </w:r>
            <w:r>
              <w:rPr>
                <w:rFonts w:hint="eastAsia" w:ascii="仿宋_GB2312" w:hAnsi="仿宋_GB2312" w:eastAsia="仿宋_GB2312" w:cs="仿宋_GB2312"/>
                <w:sz w:val="24"/>
                <w:szCs w:val="24"/>
                <w:highlight w:val="none"/>
              </w:rPr>
              <w:t>：                       年    月    日</w:t>
            </w:r>
          </w:p>
        </w:tc>
      </w:tr>
    </w:tbl>
    <w:p w14:paraId="7B9595E2">
      <w:pPr>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br w:type="page"/>
      </w:r>
      <w:r>
        <w:rPr>
          <w:rFonts w:hint="eastAsia" w:ascii="黑体" w:hAnsi="黑体" w:eastAsia="黑体" w:cs="黑体"/>
          <w:b w:val="0"/>
          <w:bCs w:val="0"/>
          <w:sz w:val="32"/>
          <w:szCs w:val="32"/>
          <w:highlight w:val="none"/>
          <w:lang w:val="en-US" w:eastAsia="zh-CN"/>
        </w:rPr>
        <w:t>附件3</w:t>
      </w:r>
    </w:p>
    <w:p w14:paraId="786E52E2">
      <w:pPr>
        <w:keepNext w:val="0"/>
        <w:keepLines w:val="0"/>
        <w:widowControl/>
        <w:suppressLineNumbers w:val="0"/>
        <w:jc w:val="center"/>
        <w:rPr>
          <w:highlight w:val="none"/>
        </w:rPr>
      </w:pPr>
      <w:r>
        <w:rPr>
          <w:rFonts w:hint="eastAsia" w:ascii="方正小标宋简体" w:hAnsi="方正小标宋简体" w:eastAsia="方正小标宋简体" w:cs="方正小标宋简体"/>
          <w:color w:val="000000"/>
          <w:kern w:val="0"/>
          <w:sz w:val="44"/>
          <w:szCs w:val="44"/>
          <w:highlight w:val="none"/>
          <w:lang w:val="en-US" w:eastAsia="zh-CN" w:bidi="ar"/>
        </w:rPr>
        <w:t>赣州市</w:t>
      </w:r>
      <w:r>
        <w:rPr>
          <w:rFonts w:ascii="方正小标宋简体" w:hAnsi="方正小标宋简体" w:eastAsia="方正小标宋简体" w:cs="方正小标宋简体"/>
          <w:color w:val="000000"/>
          <w:kern w:val="0"/>
          <w:sz w:val="44"/>
          <w:szCs w:val="44"/>
          <w:highlight w:val="none"/>
          <w:lang w:val="en-US" w:eastAsia="zh-CN" w:bidi="ar"/>
        </w:rPr>
        <w:t>长期护理保险失能等级评估结论书</w:t>
      </w:r>
    </w:p>
    <w:p w14:paraId="02D9351B">
      <w:pPr>
        <w:keepNext w:val="0"/>
        <w:keepLines w:val="0"/>
        <w:widowControl/>
        <w:suppressLineNumbers w:val="0"/>
        <w:jc w:val="right"/>
        <w:rPr>
          <w:rFonts w:ascii="仿宋_GB2312" w:hAnsi="仿宋_GB2312" w:eastAsia="仿宋_GB2312" w:cs="仿宋_GB2312"/>
          <w:color w:val="000000"/>
          <w:kern w:val="0"/>
          <w:sz w:val="32"/>
          <w:szCs w:val="32"/>
          <w:highlight w:val="none"/>
          <w:lang w:val="en-US" w:eastAsia="zh-CN" w:bidi="ar"/>
        </w:rPr>
      </w:pPr>
      <w:r>
        <w:rPr>
          <w:rFonts w:ascii="仿宋_GB2312" w:hAnsi="仿宋_GB2312" w:eastAsia="仿宋_GB2312" w:cs="仿宋_GB2312"/>
          <w:color w:val="000000"/>
          <w:kern w:val="0"/>
          <w:sz w:val="32"/>
          <w:szCs w:val="32"/>
          <w:highlight w:val="none"/>
          <w:lang w:val="en-US" w:eastAsia="zh-CN" w:bidi="ar"/>
        </w:rPr>
        <w:t>第</w:t>
      </w:r>
      <w:r>
        <w:rPr>
          <w:rFonts w:hint="eastAsia" w:ascii="仿宋_GB2312" w:hAnsi="仿宋_GB2312" w:eastAsia="仿宋_GB2312" w:cs="仿宋_GB2312"/>
          <w:color w:val="000000"/>
          <w:kern w:val="0"/>
          <w:sz w:val="32"/>
          <w:szCs w:val="32"/>
          <w:highlight w:val="none"/>
          <w:lang w:val="en-US" w:eastAsia="zh-CN" w:bidi="ar"/>
        </w:rPr>
        <w:t xml:space="preserve">   </w:t>
      </w:r>
      <w:r>
        <w:rPr>
          <w:rFonts w:ascii="仿宋_GB2312" w:hAnsi="仿宋_GB2312" w:eastAsia="仿宋_GB2312" w:cs="仿宋_GB2312"/>
          <w:color w:val="000000"/>
          <w:kern w:val="0"/>
          <w:sz w:val="32"/>
          <w:szCs w:val="32"/>
          <w:highlight w:val="none"/>
          <w:lang w:val="en-US" w:eastAsia="zh-CN" w:bidi="ar"/>
        </w:rPr>
        <w:t xml:space="preserve"> 号 </w:t>
      </w:r>
    </w:p>
    <w:p w14:paraId="20D2C3AD">
      <w:pPr>
        <w:keepNext w:val="0"/>
        <w:keepLines w:val="0"/>
        <w:widowControl/>
        <w:suppressLineNumbers w:val="0"/>
        <w:jc w:val="left"/>
        <w:rPr>
          <w:highlight w:val="none"/>
        </w:rPr>
      </w:pPr>
      <w:r>
        <w:rPr>
          <w:rFonts w:ascii="仿宋_GB2312" w:hAnsi="仿宋_GB2312" w:eastAsia="仿宋_GB2312" w:cs="仿宋_GB2312"/>
          <w:color w:val="000000"/>
          <w:kern w:val="0"/>
          <w:sz w:val="32"/>
          <w:szCs w:val="32"/>
          <w:highlight w:val="none"/>
          <w:lang w:val="en-US" w:eastAsia="zh-CN" w:bidi="ar"/>
        </w:rPr>
        <w:t xml:space="preserve">参保人员： </w:t>
      </w:r>
    </w:p>
    <w:p w14:paraId="39AEF840">
      <w:pPr>
        <w:keepNext w:val="0"/>
        <w:keepLines w:val="0"/>
        <w:widowControl/>
        <w:suppressLineNumbers w:val="0"/>
        <w:jc w:val="left"/>
        <w:rPr>
          <w:highlight w:val="none"/>
        </w:rPr>
      </w:pPr>
      <w:r>
        <w:rPr>
          <w:rFonts w:ascii="仿宋_GB2312" w:hAnsi="仿宋_GB2312" w:eastAsia="仿宋_GB2312" w:cs="仿宋_GB2312"/>
          <w:color w:val="000000"/>
          <w:kern w:val="0"/>
          <w:sz w:val="32"/>
          <w:szCs w:val="32"/>
          <w:highlight w:val="none"/>
          <w:lang w:val="en-US" w:eastAsia="zh-CN" w:bidi="ar"/>
        </w:rPr>
        <w:t xml:space="preserve">身份证号码： </w:t>
      </w:r>
    </w:p>
    <w:p w14:paraId="6ED3BEA0">
      <w:pPr>
        <w:keepNext w:val="0"/>
        <w:keepLines w:val="0"/>
        <w:widowControl/>
        <w:suppressLineNumbers w:val="0"/>
        <w:jc w:val="left"/>
        <w:rPr>
          <w:highlight w:val="none"/>
        </w:rPr>
      </w:pPr>
      <w:r>
        <w:rPr>
          <w:rFonts w:ascii="仿宋_GB2312" w:hAnsi="仿宋_GB2312" w:eastAsia="仿宋_GB2312" w:cs="仿宋_GB2312"/>
          <w:color w:val="000000"/>
          <w:kern w:val="0"/>
          <w:sz w:val="32"/>
          <w:szCs w:val="32"/>
          <w:highlight w:val="none"/>
          <w:lang w:val="en-US" w:eastAsia="zh-CN" w:bidi="ar"/>
        </w:rPr>
        <w:t xml:space="preserve">家庭住址： </w:t>
      </w:r>
    </w:p>
    <w:p w14:paraId="7673F205">
      <w:pPr>
        <w:keepNext w:val="0"/>
        <w:keepLines w:val="0"/>
        <w:widowControl/>
        <w:suppressLineNumbers w:val="0"/>
        <w:jc w:val="left"/>
        <w:rPr>
          <w:rFonts w:ascii="仿宋_GB2312" w:hAnsi="仿宋_GB2312" w:eastAsia="仿宋_GB2312" w:cs="仿宋_GB2312"/>
          <w:color w:val="000000"/>
          <w:kern w:val="0"/>
          <w:sz w:val="32"/>
          <w:szCs w:val="32"/>
          <w:highlight w:val="none"/>
          <w:lang w:val="en-US" w:eastAsia="zh-CN" w:bidi="ar"/>
        </w:rPr>
      </w:pPr>
      <w:r>
        <w:rPr>
          <w:rFonts w:ascii="仿宋_GB2312" w:hAnsi="仿宋_GB2312" w:eastAsia="仿宋_GB2312" w:cs="仿宋_GB2312"/>
          <w:color w:val="000000"/>
          <w:kern w:val="0"/>
          <w:sz w:val="32"/>
          <w:szCs w:val="32"/>
          <w:highlight w:val="none"/>
          <w:lang w:val="en-US" w:eastAsia="zh-CN" w:bidi="ar"/>
        </w:rPr>
        <w:t xml:space="preserve">联系电话： </w:t>
      </w:r>
    </w:p>
    <w:p w14:paraId="4E8DDED4">
      <w:pPr>
        <w:keepNext w:val="0"/>
        <w:keepLines w:val="0"/>
        <w:widowControl/>
        <w:suppressLineNumbers w:val="0"/>
        <w:ind w:firstLine="640" w:firstLineChars="200"/>
        <w:jc w:val="left"/>
        <w:rPr>
          <w:rFonts w:ascii="仿宋_GB2312" w:hAnsi="仿宋_GB2312" w:eastAsia="仿宋_GB2312" w:cs="仿宋_GB2312"/>
          <w:color w:val="000000"/>
          <w:kern w:val="0"/>
          <w:sz w:val="32"/>
          <w:szCs w:val="32"/>
          <w:highlight w:val="none"/>
          <w:lang w:val="en-US" w:eastAsia="zh-CN" w:bidi="ar"/>
        </w:rPr>
      </w:pPr>
    </w:p>
    <w:p w14:paraId="5B138E52">
      <w:pPr>
        <w:keepNext w:val="0"/>
        <w:keepLines w:val="0"/>
        <w:widowControl/>
        <w:suppressLineNumbers w:val="0"/>
        <w:ind w:firstLine="640" w:firstLineChars="200"/>
        <w:jc w:val="left"/>
        <w:rPr>
          <w:highlight w:val="none"/>
        </w:rPr>
      </w:pPr>
      <w:r>
        <w:rPr>
          <w:rFonts w:ascii="仿宋_GB2312" w:hAnsi="仿宋_GB2312" w:eastAsia="仿宋_GB2312" w:cs="仿宋_GB2312"/>
          <w:color w:val="000000"/>
          <w:kern w:val="0"/>
          <w:sz w:val="32"/>
          <w:szCs w:val="32"/>
          <w:highlight w:val="none"/>
          <w:lang w:val="en-US" w:eastAsia="zh-CN" w:bidi="ar"/>
        </w:rPr>
        <w:t xml:space="preserve">根据《长期护理保险综合失能等级划分表》标准，经评定， </w:t>
      </w:r>
    </w:p>
    <w:p w14:paraId="3D7D3161">
      <w:pPr>
        <w:keepNext w:val="0"/>
        <w:keepLines w:val="0"/>
        <w:widowControl/>
        <w:suppressLineNumbers w:val="0"/>
        <w:jc w:val="left"/>
        <w:rPr>
          <w:highlight w:val="none"/>
        </w:rPr>
      </w:pPr>
      <w:r>
        <w:rPr>
          <w:rFonts w:ascii="仿宋_GB2312" w:hAnsi="仿宋_GB2312" w:eastAsia="仿宋_GB2312" w:cs="仿宋_GB2312"/>
          <w:color w:val="000000"/>
          <w:kern w:val="0"/>
          <w:sz w:val="32"/>
          <w:szCs w:val="32"/>
          <w:highlight w:val="none"/>
          <w:lang w:val="en-US" w:eastAsia="zh-CN" w:bidi="ar"/>
        </w:rPr>
        <w:t>对</w:t>
      </w:r>
      <w:r>
        <w:rPr>
          <w:rFonts w:hint="eastAsia" w:ascii="仿宋_GB2312" w:hAnsi="仿宋_GB2312" w:eastAsia="仿宋_GB2312" w:cs="仿宋_GB2312"/>
          <w:color w:val="000000"/>
          <w:kern w:val="0"/>
          <w:sz w:val="32"/>
          <w:szCs w:val="32"/>
          <w:highlight w:val="none"/>
          <w:lang w:val="en-US" w:eastAsia="zh-CN" w:bidi="ar"/>
        </w:rPr>
        <w:t>您的</w:t>
      </w:r>
      <w:r>
        <w:rPr>
          <w:rFonts w:ascii="仿宋_GB2312" w:hAnsi="仿宋_GB2312" w:eastAsia="仿宋_GB2312" w:cs="仿宋_GB2312"/>
          <w:color w:val="000000"/>
          <w:kern w:val="0"/>
          <w:sz w:val="32"/>
          <w:szCs w:val="32"/>
          <w:highlight w:val="none"/>
          <w:lang w:val="en-US" w:eastAsia="zh-CN" w:bidi="ar"/>
        </w:rPr>
        <w:t>失能等级作出如下评定结论：</w:t>
      </w:r>
      <w:r>
        <w:rPr>
          <w:rFonts w:hint="eastAsia" w:ascii="仿宋_GB2312" w:hAnsi="仿宋_GB2312" w:eastAsia="仿宋_GB2312" w:cs="仿宋_GB2312"/>
          <w:color w:val="000000"/>
          <w:kern w:val="0"/>
          <w:sz w:val="32"/>
          <w:szCs w:val="32"/>
          <w:highlight w:val="none"/>
          <w:lang w:val="en-US" w:eastAsia="zh-CN" w:bidi="ar"/>
        </w:rPr>
        <w:t>您的</w:t>
      </w:r>
      <w:r>
        <w:rPr>
          <w:rFonts w:ascii="仿宋_GB2312" w:hAnsi="仿宋_GB2312" w:eastAsia="仿宋_GB2312" w:cs="仿宋_GB2312"/>
          <w:color w:val="000000"/>
          <w:kern w:val="0"/>
          <w:sz w:val="32"/>
          <w:szCs w:val="32"/>
          <w:highlight w:val="none"/>
          <w:lang w:val="en-US" w:eastAsia="zh-CN" w:bidi="ar"/>
        </w:rPr>
        <w:t>长期护理</w:t>
      </w:r>
      <w:r>
        <w:rPr>
          <w:rFonts w:hint="eastAsia" w:ascii="仿宋_GB2312" w:hAnsi="仿宋_GB2312" w:cs="仿宋_GB2312"/>
          <w:color w:val="000000"/>
          <w:kern w:val="0"/>
          <w:sz w:val="32"/>
          <w:szCs w:val="32"/>
          <w:highlight w:val="none"/>
          <w:lang w:val="en-US" w:eastAsia="zh-CN" w:bidi="ar"/>
        </w:rPr>
        <w:t>保险</w:t>
      </w:r>
      <w:r>
        <w:rPr>
          <w:rFonts w:ascii="仿宋_GB2312" w:hAnsi="仿宋_GB2312" w:eastAsia="仿宋_GB2312" w:cs="仿宋_GB2312"/>
          <w:color w:val="000000"/>
          <w:kern w:val="0"/>
          <w:sz w:val="32"/>
          <w:szCs w:val="32"/>
          <w:highlight w:val="none"/>
          <w:lang w:val="en-US" w:eastAsia="zh-CN" w:bidi="ar"/>
        </w:rPr>
        <w:t>失能等级</w:t>
      </w:r>
      <w:r>
        <w:rPr>
          <w:rFonts w:hint="eastAsia" w:ascii="仿宋_GB2312" w:hAnsi="仿宋_GB2312" w:eastAsia="仿宋_GB2312" w:cs="仿宋_GB2312"/>
          <w:color w:val="000000"/>
          <w:kern w:val="0"/>
          <w:sz w:val="32"/>
          <w:szCs w:val="32"/>
          <w:highlight w:val="none"/>
          <w:lang w:val="en-US" w:eastAsia="zh-CN" w:bidi="ar"/>
        </w:rPr>
        <w:t>评估</w:t>
      </w:r>
      <w:r>
        <w:rPr>
          <w:rFonts w:ascii="仿宋_GB2312" w:hAnsi="仿宋_GB2312" w:eastAsia="仿宋_GB2312" w:cs="仿宋_GB2312"/>
          <w:color w:val="000000"/>
          <w:kern w:val="0"/>
          <w:sz w:val="32"/>
          <w:szCs w:val="32"/>
          <w:highlight w:val="none"/>
          <w:lang w:val="en-US" w:eastAsia="zh-CN" w:bidi="ar"/>
        </w:rPr>
        <w:t>为</w:t>
      </w:r>
      <w:r>
        <w:rPr>
          <w:rFonts w:hint="eastAsia" w:ascii="仿宋_GB2312" w:hAnsi="仿宋_GB2312" w:eastAsia="仿宋_GB2312" w:cs="仿宋_GB2312"/>
          <w:color w:val="000000"/>
          <w:kern w:val="0"/>
          <w:sz w:val="32"/>
          <w:szCs w:val="32"/>
          <w:highlight w:val="none"/>
          <w:u w:val="single"/>
          <w:lang w:val="en-US" w:eastAsia="zh-CN" w:bidi="ar"/>
        </w:rPr>
        <w:t xml:space="preserve">         </w:t>
      </w:r>
      <w:r>
        <w:rPr>
          <w:rFonts w:ascii="仿宋_GB2312" w:hAnsi="仿宋_GB2312" w:eastAsia="仿宋_GB2312" w:cs="仿宋_GB2312"/>
          <w:color w:val="000000"/>
          <w:kern w:val="0"/>
          <w:sz w:val="32"/>
          <w:szCs w:val="32"/>
          <w:highlight w:val="none"/>
          <w:lang w:val="en-US" w:eastAsia="zh-CN" w:bidi="ar"/>
        </w:rPr>
        <w:t>级</w:t>
      </w:r>
      <w:r>
        <w:rPr>
          <w:rFonts w:hint="eastAsia" w:ascii="仿宋_GB2312" w:hAnsi="仿宋_GB2312" w:eastAsia="仿宋_GB2312" w:cs="仿宋_GB2312"/>
          <w:color w:val="000000"/>
          <w:kern w:val="0"/>
          <w:sz w:val="32"/>
          <w:szCs w:val="32"/>
          <w:highlight w:val="none"/>
          <w:lang w:val="en-US" w:eastAsia="zh-CN" w:bidi="ar"/>
        </w:rPr>
        <w:t>。</w:t>
      </w:r>
    </w:p>
    <w:p w14:paraId="1FE8D2BE">
      <w:pPr>
        <w:keepNext w:val="0"/>
        <w:keepLines w:val="0"/>
        <w:widowControl/>
        <w:suppressLineNumbers w:val="0"/>
        <w:jc w:val="left"/>
        <w:rPr>
          <w:rFonts w:ascii="仿宋_GB2312" w:hAnsi="仿宋_GB2312" w:eastAsia="仿宋_GB2312" w:cs="仿宋_GB2312"/>
          <w:color w:val="000000"/>
          <w:kern w:val="0"/>
          <w:sz w:val="32"/>
          <w:szCs w:val="32"/>
          <w:highlight w:val="none"/>
          <w:lang w:val="en-US" w:eastAsia="zh-CN" w:bidi="ar"/>
        </w:rPr>
      </w:pPr>
    </w:p>
    <w:p w14:paraId="7B66D76E">
      <w:pPr>
        <w:keepNext w:val="0"/>
        <w:keepLines w:val="0"/>
        <w:widowControl/>
        <w:suppressLineNumbers w:val="0"/>
        <w:jc w:val="left"/>
        <w:rPr>
          <w:rFonts w:ascii="仿宋_GB2312" w:hAnsi="仿宋_GB2312" w:eastAsia="仿宋_GB2312" w:cs="仿宋_GB2312"/>
          <w:color w:val="000000"/>
          <w:kern w:val="0"/>
          <w:sz w:val="32"/>
          <w:szCs w:val="32"/>
          <w:highlight w:val="none"/>
          <w:lang w:val="en-US" w:eastAsia="zh-CN" w:bidi="ar"/>
        </w:rPr>
      </w:pPr>
    </w:p>
    <w:p w14:paraId="3ADCE56F">
      <w:pPr>
        <w:keepNext w:val="0"/>
        <w:keepLines w:val="0"/>
        <w:widowControl/>
        <w:suppressLineNumbers w:val="0"/>
        <w:jc w:val="left"/>
        <w:rPr>
          <w:rFonts w:ascii="仿宋_GB2312" w:hAnsi="仿宋_GB2312" w:eastAsia="仿宋_GB2312" w:cs="仿宋_GB2312"/>
          <w:color w:val="000000"/>
          <w:kern w:val="0"/>
          <w:sz w:val="32"/>
          <w:szCs w:val="32"/>
          <w:highlight w:val="none"/>
          <w:lang w:val="en-US" w:eastAsia="zh-CN" w:bidi="ar"/>
        </w:rPr>
      </w:pPr>
      <w:r>
        <w:rPr>
          <w:rFonts w:ascii="仿宋_GB2312" w:hAnsi="仿宋_GB2312" w:eastAsia="仿宋_GB2312" w:cs="仿宋_GB2312"/>
          <w:color w:val="000000"/>
          <w:kern w:val="0"/>
          <w:sz w:val="32"/>
          <w:szCs w:val="32"/>
          <w:highlight w:val="none"/>
          <w:lang w:val="en-US" w:eastAsia="zh-CN" w:bidi="ar"/>
        </w:rPr>
        <w:t xml:space="preserve">参保人员或家属（签字）： </w:t>
      </w:r>
      <w:r>
        <w:rPr>
          <w:rFonts w:hint="eastAsia" w:ascii="仿宋_GB2312" w:hAnsi="仿宋_GB2312" w:eastAsia="仿宋_GB2312" w:cs="仿宋_GB2312"/>
          <w:color w:val="000000"/>
          <w:kern w:val="0"/>
          <w:sz w:val="32"/>
          <w:szCs w:val="32"/>
          <w:highlight w:val="none"/>
          <w:lang w:val="en-US" w:eastAsia="zh-CN" w:bidi="ar"/>
        </w:rPr>
        <w:t xml:space="preserve">        </w:t>
      </w:r>
      <w:r>
        <w:rPr>
          <w:rFonts w:ascii="仿宋_GB2312" w:hAnsi="仿宋_GB2312" w:eastAsia="仿宋_GB2312" w:cs="仿宋_GB2312"/>
          <w:color w:val="000000"/>
          <w:kern w:val="0"/>
          <w:sz w:val="32"/>
          <w:szCs w:val="32"/>
          <w:highlight w:val="none"/>
          <w:lang w:val="en-US" w:eastAsia="zh-CN" w:bidi="ar"/>
        </w:rPr>
        <w:t>评估机构</w:t>
      </w:r>
      <w:r>
        <w:rPr>
          <w:rFonts w:hint="eastAsia" w:ascii="仿宋_GB2312" w:hAnsi="仿宋_GB2312" w:eastAsia="仿宋_GB2312" w:cs="仿宋_GB2312"/>
          <w:color w:val="000000"/>
          <w:kern w:val="0"/>
          <w:sz w:val="32"/>
          <w:szCs w:val="32"/>
          <w:highlight w:val="none"/>
          <w:lang w:val="en-US" w:eastAsia="zh-CN" w:bidi="ar"/>
        </w:rPr>
        <w:t>（盖章）：</w:t>
      </w:r>
    </w:p>
    <w:p w14:paraId="11D7B668">
      <w:pPr>
        <w:keepNext w:val="0"/>
        <w:keepLines w:val="0"/>
        <w:widowControl/>
        <w:suppressLineNumbers w:val="0"/>
        <w:ind w:firstLine="5440" w:firstLineChars="1700"/>
        <w:jc w:val="left"/>
        <w:rPr>
          <w:rFonts w:ascii="仿宋_GB2312" w:hAnsi="仿宋_GB2312" w:eastAsia="仿宋_GB2312" w:cs="仿宋_GB2312"/>
          <w:color w:val="000000"/>
          <w:kern w:val="0"/>
          <w:sz w:val="32"/>
          <w:szCs w:val="32"/>
          <w:highlight w:val="none"/>
          <w:lang w:val="en-US" w:eastAsia="zh-CN" w:bidi="ar"/>
        </w:rPr>
      </w:pPr>
    </w:p>
    <w:p w14:paraId="671829AF">
      <w:pPr>
        <w:keepNext w:val="0"/>
        <w:keepLines w:val="0"/>
        <w:widowControl/>
        <w:suppressLineNumbers w:val="0"/>
        <w:ind w:firstLine="5440" w:firstLineChars="1700"/>
        <w:jc w:val="left"/>
        <w:rPr>
          <w:rFonts w:ascii="仿宋_GB2312" w:hAnsi="仿宋_GB2312" w:eastAsia="仿宋_GB2312" w:cs="仿宋_GB2312"/>
          <w:color w:val="000000"/>
          <w:kern w:val="0"/>
          <w:sz w:val="32"/>
          <w:szCs w:val="32"/>
          <w:highlight w:val="none"/>
          <w:lang w:val="en-US" w:eastAsia="zh-CN" w:bidi="ar"/>
        </w:rPr>
      </w:pPr>
      <w:r>
        <w:rPr>
          <w:rFonts w:ascii="仿宋_GB2312" w:hAnsi="仿宋_GB2312" w:eastAsia="仿宋_GB2312" w:cs="仿宋_GB2312"/>
          <w:color w:val="000000"/>
          <w:kern w:val="0"/>
          <w:sz w:val="32"/>
          <w:szCs w:val="32"/>
          <w:highlight w:val="none"/>
          <w:lang w:val="en-US" w:eastAsia="zh-CN" w:bidi="ar"/>
        </w:rPr>
        <w:t>年</w:t>
      </w:r>
      <w:r>
        <w:rPr>
          <w:rFonts w:hint="eastAsia" w:ascii="仿宋_GB2312" w:hAnsi="仿宋_GB2312" w:eastAsia="仿宋_GB2312" w:cs="仿宋_GB2312"/>
          <w:color w:val="000000"/>
          <w:kern w:val="0"/>
          <w:sz w:val="32"/>
          <w:szCs w:val="32"/>
          <w:highlight w:val="none"/>
          <w:lang w:val="en-US" w:eastAsia="zh-CN" w:bidi="ar"/>
        </w:rPr>
        <w:t xml:space="preserve"> </w:t>
      </w:r>
      <w:r>
        <w:rPr>
          <w:rFonts w:ascii="仿宋_GB2312" w:hAnsi="仿宋_GB2312" w:eastAsia="仿宋_GB2312" w:cs="仿宋_GB2312"/>
          <w:color w:val="000000"/>
          <w:kern w:val="0"/>
          <w:sz w:val="32"/>
          <w:szCs w:val="32"/>
          <w:highlight w:val="none"/>
          <w:lang w:val="en-US" w:eastAsia="zh-CN" w:bidi="ar"/>
        </w:rPr>
        <w:t xml:space="preserve"> </w:t>
      </w:r>
      <w:r>
        <w:rPr>
          <w:rFonts w:hint="eastAsia" w:ascii="仿宋_GB2312" w:hAnsi="仿宋_GB2312" w:eastAsia="仿宋_GB2312" w:cs="仿宋_GB2312"/>
          <w:color w:val="000000"/>
          <w:kern w:val="0"/>
          <w:sz w:val="32"/>
          <w:szCs w:val="32"/>
          <w:highlight w:val="none"/>
          <w:lang w:val="en-US" w:eastAsia="zh-CN" w:bidi="ar"/>
        </w:rPr>
        <w:t xml:space="preserve"> </w:t>
      </w:r>
      <w:r>
        <w:rPr>
          <w:rFonts w:ascii="仿宋_GB2312" w:hAnsi="仿宋_GB2312" w:eastAsia="仿宋_GB2312" w:cs="仿宋_GB2312"/>
          <w:color w:val="000000"/>
          <w:kern w:val="0"/>
          <w:sz w:val="32"/>
          <w:szCs w:val="32"/>
          <w:highlight w:val="none"/>
          <w:lang w:val="en-US" w:eastAsia="zh-CN" w:bidi="ar"/>
        </w:rPr>
        <w:t xml:space="preserve">月 </w:t>
      </w:r>
      <w:r>
        <w:rPr>
          <w:rFonts w:hint="eastAsia" w:ascii="仿宋_GB2312" w:hAnsi="仿宋_GB2312" w:eastAsia="仿宋_GB2312" w:cs="仿宋_GB2312"/>
          <w:color w:val="000000"/>
          <w:kern w:val="0"/>
          <w:sz w:val="32"/>
          <w:szCs w:val="32"/>
          <w:highlight w:val="none"/>
          <w:lang w:val="en-US" w:eastAsia="zh-CN" w:bidi="ar"/>
        </w:rPr>
        <w:t xml:space="preserve">  </w:t>
      </w:r>
      <w:r>
        <w:rPr>
          <w:rFonts w:ascii="仿宋_GB2312" w:hAnsi="仿宋_GB2312" w:eastAsia="仿宋_GB2312" w:cs="仿宋_GB2312"/>
          <w:color w:val="000000"/>
          <w:kern w:val="0"/>
          <w:sz w:val="32"/>
          <w:szCs w:val="32"/>
          <w:highlight w:val="none"/>
          <w:lang w:val="en-US" w:eastAsia="zh-CN" w:bidi="ar"/>
        </w:rPr>
        <w:t>日</w:t>
      </w:r>
    </w:p>
    <w:p w14:paraId="46D6F2AD">
      <w:pPr>
        <w:keepNext w:val="0"/>
        <w:keepLines w:val="0"/>
        <w:widowControl/>
        <w:suppressLineNumbers w:val="0"/>
        <w:jc w:val="left"/>
        <w:rPr>
          <w:rFonts w:ascii="仿宋_GB2312" w:hAnsi="仿宋_GB2312" w:eastAsia="仿宋_GB2312" w:cs="仿宋_GB2312"/>
          <w:color w:val="000000"/>
          <w:kern w:val="0"/>
          <w:sz w:val="30"/>
          <w:szCs w:val="30"/>
          <w:highlight w:val="none"/>
          <w:lang w:val="en-US" w:eastAsia="zh-CN" w:bidi="ar"/>
        </w:rPr>
      </w:pPr>
    </w:p>
    <w:p w14:paraId="439EBDB4">
      <w:pPr>
        <w:keepNext w:val="0"/>
        <w:keepLines w:val="0"/>
        <w:widowControl/>
        <w:suppressLineNumbers w:val="0"/>
        <w:ind w:firstLine="600" w:firstLineChars="200"/>
        <w:jc w:val="left"/>
        <w:rPr>
          <w:rFonts w:hint="eastAsia" w:ascii="仿宋_GB2312" w:hAnsi="仿宋_GB2312" w:eastAsia="仿宋_GB2312" w:cs="仿宋_GB2312"/>
          <w:b w:val="0"/>
          <w:bCs w:val="0"/>
          <w:highlight w:val="none"/>
          <w:lang w:val="en-US" w:eastAsia="zh-CN"/>
        </w:rPr>
      </w:pPr>
      <w:r>
        <w:rPr>
          <w:rFonts w:ascii="仿宋_GB2312" w:hAnsi="仿宋_GB2312" w:eastAsia="仿宋_GB2312" w:cs="仿宋_GB2312"/>
          <w:color w:val="000000"/>
          <w:kern w:val="0"/>
          <w:sz w:val="30"/>
          <w:szCs w:val="30"/>
          <w:highlight w:val="none"/>
          <w:lang w:val="en-US" w:eastAsia="zh-CN" w:bidi="ar"/>
        </w:rPr>
        <w:t>注：本结论书一式</w:t>
      </w:r>
      <w:r>
        <w:rPr>
          <w:rFonts w:hint="eastAsia" w:ascii="仿宋_GB2312" w:hAnsi="仿宋_GB2312" w:eastAsia="仿宋_GB2312" w:cs="仿宋_GB2312"/>
          <w:color w:val="000000"/>
          <w:kern w:val="0"/>
          <w:sz w:val="30"/>
          <w:szCs w:val="30"/>
          <w:highlight w:val="none"/>
          <w:lang w:val="en-US" w:eastAsia="zh-CN" w:bidi="ar"/>
        </w:rPr>
        <w:t>3</w:t>
      </w:r>
      <w:r>
        <w:rPr>
          <w:rFonts w:ascii="仿宋_GB2312" w:hAnsi="仿宋_GB2312" w:eastAsia="仿宋_GB2312" w:cs="仿宋_GB2312"/>
          <w:color w:val="000000"/>
          <w:kern w:val="0"/>
          <w:sz w:val="30"/>
          <w:szCs w:val="30"/>
          <w:highlight w:val="none"/>
          <w:lang w:val="en-US" w:eastAsia="zh-CN" w:bidi="ar"/>
        </w:rPr>
        <w:t>份，参保人员、医疗保障经办机构、评估机构各</w:t>
      </w:r>
      <w:r>
        <w:rPr>
          <w:rFonts w:hint="eastAsia" w:ascii="仿宋_GB2312" w:hAnsi="仿宋_GB2312" w:eastAsia="仿宋_GB2312" w:cs="仿宋_GB2312"/>
          <w:color w:val="000000"/>
          <w:kern w:val="0"/>
          <w:sz w:val="30"/>
          <w:szCs w:val="30"/>
          <w:highlight w:val="none"/>
          <w:lang w:val="en-US" w:eastAsia="zh-CN" w:bidi="ar"/>
        </w:rPr>
        <w:t>1</w:t>
      </w:r>
      <w:r>
        <w:rPr>
          <w:rFonts w:ascii="仿宋_GB2312" w:hAnsi="仿宋_GB2312" w:eastAsia="仿宋_GB2312" w:cs="仿宋_GB2312"/>
          <w:color w:val="000000"/>
          <w:kern w:val="0"/>
          <w:sz w:val="30"/>
          <w:szCs w:val="30"/>
          <w:highlight w:val="none"/>
          <w:lang w:val="en-US" w:eastAsia="zh-CN" w:bidi="ar"/>
        </w:rPr>
        <w:t>份。</w:t>
      </w:r>
      <w:r>
        <w:rPr>
          <w:rFonts w:ascii="仿宋_GB2312" w:hAnsi="仿宋_GB2312" w:eastAsia="仿宋_GB2312" w:cs="仿宋_GB2312"/>
          <w:color w:val="000000"/>
          <w:kern w:val="0"/>
          <w:sz w:val="32"/>
          <w:szCs w:val="32"/>
          <w:highlight w:val="none"/>
          <w:lang w:val="en-US" w:eastAsia="zh-CN" w:bidi="ar"/>
        </w:rPr>
        <w:t xml:space="preserve"> </w:t>
      </w:r>
    </w:p>
    <w:sectPr>
      <w:footerReference r:id="rId3" w:type="default"/>
      <w:pgSz w:w="11906" w:h="16838"/>
      <w:pgMar w:top="2098" w:right="1474" w:bottom="1984" w:left="1587" w:header="851" w:footer="150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9251DD7-8E4D-439B-B72C-BA1A9AC7B7C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61F3A922-D389-425E-BC44-C37031E596A0}"/>
  </w:font>
  <w:font w:name="Verdana">
    <w:panose1 w:val="020B0604030504040204"/>
    <w:charset w:val="00"/>
    <w:family w:val="swiss"/>
    <w:pitch w:val="default"/>
    <w:sig w:usb0="A0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embedRegular r:id="rId3" w:fontKey="{4A258569-F080-49D8-9A71-6051844143E3}"/>
  </w:font>
  <w:font w:name="楷体">
    <w:panose1 w:val="02010609060101010101"/>
    <w:charset w:val="86"/>
    <w:family w:val="auto"/>
    <w:pitch w:val="default"/>
    <w:sig w:usb0="800002BF" w:usb1="38CF7CFA" w:usb2="00000016" w:usb3="00000000" w:csb0="00040001" w:csb1="00000000"/>
    <w:embedRegular r:id="rId4" w:fontKey="{EFDABE77-C4C0-452B-8B06-E908F12B108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64AB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546EB1">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9546EB1">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319DF"/>
    <w:rsid w:val="065344DE"/>
    <w:rsid w:val="0DC45CC1"/>
    <w:rsid w:val="18383BBF"/>
    <w:rsid w:val="1D631052"/>
    <w:rsid w:val="1FD02787"/>
    <w:rsid w:val="23582CDC"/>
    <w:rsid w:val="23F24EDE"/>
    <w:rsid w:val="2C7566AC"/>
    <w:rsid w:val="2DA07DEB"/>
    <w:rsid w:val="325A248F"/>
    <w:rsid w:val="35DC779C"/>
    <w:rsid w:val="37F319DF"/>
    <w:rsid w:val="403F0F38"/>
    <w:rsid w:val="43456981"/>
    <w:rsid w:val="442A5B77"/>
    <w:rsid w:val="44925486"/>
    <w:rsid w:val="450308A1"/>
    <w:rsid w:val="460138C3"/>
    <w:rsid w:val="478A74E5"/>
    <w:rsid w:val="47D06A35"/>
    <w:rsid w:val="48677C3F"/>
    <w:rsid w:val="499B4005"/>
    <w:rsid w:val="4CC67EBB"/>
    <w:rsid w:val="51905BB3"/>
    <w:rsid w:val="54106B37"/>
    <w:rsid w:val="555111B5"/>
    <w:rsid w:val="59D979CB"/>
    <w:rsid w:val="5ABA77FD"/>
    <w:rsid w:val="5EE44E48"/>
    <w:rsid w:val="62A212A2"/>
    <w:rsid w:val="641F25DA"/>
    <w:rsid w:val="657C5A6D"/>
    <w:rsid w:val="77FE1084"/>
    <w:rsid w:val="78C834DA"/>
    <w:rsid w:val="7A62213E"/>
    <w:rsid w:val="7BDF1D18"/>
    <w:rsid w:val="7CF98F5B"/>
    <w:rsid w:val="7F6DDF9B"/>
    <w:rsid w:val="7F7F06DF"/>
    <w:rsid w:val="7FD75EEA"/>
    <w:rsid w:val="FE9FF1BC"/>
    <w:rsid w:val="FF7D72BD"/>
    <w:rsid w:val="FFDF8322"/>
    <w:rsid w:val="FFFA2D62"/>
    <w:rsid w:val="FFFF3D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rFonts w:ascii="Calibri" w:hAnsi="Calibri" w:eastAsia="宋体" w:cs="Times New Roman"/>
      <w:b/>
    </w:rPr>
  </w:style>
  <w:style w:type="paragraph" w:customStyle="1" w:styleId="8">
    <w:name w:val="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9">
    <w:name w:val="Table Paragraph"/>
    <w:basedOn w:val="1"/>
    <w:qFormat/>
    <w:uiPriority w:val="0"/>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dcc17ec2-3103-4b9d-b9b3-6c4b5c6777c3</errorID>
      <errorWord>依</errorWord>
      <group>L1_Word</group>
      <groupName>字词问题</groupName>
      <ability>L2_Typo</ability>
      <abilityName>字词错误</abilityName>
      <candidateList>
        <item>依据</item>
      </candidateList>
      <explain/>
      <paraID>3A7C731D</paraID>
      <start>81</start>
      <end>82</end>
      <status>ignored</status>
      <modifiedWord/>
      <trackRevisions>false</trackRevisions>
    </reviewItem>
    <reviewItem>
      <errorID>e097f352-c852-4029-82e2-650ccf85880b</errorID>
      <errorWord>日</errorWord>
      <group>L1_Word</group>
      <groupName>字词问题</groupName>
      <ability>L2_Typo</ability>
      <abilityName>字词错误</abilityName>
      <candidateList>
        <item>日内</item>
      </candidateList>
      <explain/>
      <paraID>658A0935</paraID>
      <start>69</start>
      <end>71</end>
      <status>modified</status>
      <modifiedWord>日内</modifiedWord>
      <trackRevisions>false</trackRevisions>
    </reviewItem>
    <reviewItem>
      <errorID>94ca7342-a134-4f84-95e5-866d8faf0898</errorID>
      <errorWord>满</errorWord>
      <group>L1_Word</group>
      <groupName>字词问题</groupName>
      <ability>L2_Typo</ability>
      <abilityName>字词错误</abilityName>
      <candidateList>
        <item>满后</item>
      </candidateList>
      <explain/>
      <paraID>5F583F37</paraID>
      <start>6</start>
      <end>8</end>
      <status>modified</status>
      <modifiedWord>满后</modifiedWord>
      <trackRevisions>false</trackRevisions>
    </reviewItem>
    <reviewItem>
      <errorID>547cbfd0-7c6a-4763-a071-8b57f51dd6ea</errorID>
      <errorWord>(</errorWord>
      <group>L1_Format</group>
      <groupName>格式问题</groupName>
      <ability>L2_HalfPunc</ability>
      <abilityName>全半角检查</abilityName>
      <candidateList>
        <item>（</item>
      </candidateList>
      <explain>文本全半角错误。</explain>
      <paraID>  DF3E2E</paraID>
      <start>2</start>
      <end>3</end>
      <status>modified</status>
      <modifiedWord>（</modifiedWord>
      <trackRevisions>false</trackRevisions>
    </reviewItem>
    <reviewItem>
      <errorID>3e1b718f-0ec4-40b2-8b75-0741f185a6f8</errorID>
      <errorWord>)</errorWord>
      <group>L1_Format</group>
      <groupName>格式问题</groupName>
      <ability>L2_HalfPunc</ability>
      <abilityName>全半角检查</abilityName>
      <candidateList>
        <item>）</item>
      </candidateList>
      <explain>文本全半角错误。</explain>
      <paraID>  DF3E2E</paraID>
      <start>4</start>
      <end>5</end>
      <status>modified</status>
      <modifiedWord>）</modifiedWord>
      <trackRevisions>false</trackRevisions>
    </reviewItem>
    <reviewItem>
      <errorID>d1733a7f-313d-4b20-8a3c-0a4f5f6d7a88</errorID>
      <errorWord>(</errorWord>
      <group>L1_Format</group>
      <groupName>格式问题</groupName>
      <ability>L2_HalfPunc</ability>
      <abilityName>全半角检查</abilityName>
      <candidateList>
        <item>（</item>
      </candidateList>
      <explain>文本全半角错误。</explain>
      <paraID> 3B37631</paraID>
      <start>4</start>
      <end>5</end>
      <status>modified</status>
      <modifiedWord>（</modifiedWord>
      <trackRevisions>false</trackRevisions>
    </reviewItem>
    <reviewItem>
      <errorID>755739e5-fdda-49d9-9b3b-b753cc466807</errorID>
      <errorWord>)</errorWord>
      <group>L1_Format</group>
      <groupName>格式问题</groupName>
      <ability>L2_HalfPunc</ability>
      <abilityName>全半角检查</abilityName>
      <candidateList>
        <item>）</item>
      </candidateList>
      <explain>文本全半角错误。</explain>
      <paraID> 3B37631</paraID>
      <start>6</start>
      <end>7</end>
      <status>modified</status>
      <modifiedWord>）</modifiedWord>
      <trackRevisions>false</trackRevisions>
    </reviewItem>
    <reviewItem>
      <errorID>c1c40e2b-8f19-45bf-a760-fe21931cf0b7</errorID>
      <errorWord>(</errorWord>
      <group>L1_Format</group>
      <groupName>格式问题</groupName>
      <ability>L2_HalfPunc</ability>
      <abilityName>全半角检查</abilityName>
      <candidateList>
        <item>（</item>
      </candidateList>
      <explain>文本全半角错误。</explain>
      <paraID>19991CEF</paraID>
      <start>2</start>
      <end>3</end>
      <status>modified</status>
      <modifiedWord>（</modifiedWord>
      <trackRevisions>false</trackRevisions>
    </reviewItem>
    <reviewItem>
      <errorID>e81c8b7e-3d26-42d4-bbb5-005676217a29</errorID>
      <errorWord>)</errorWord>
      <group>L1_Format</group>
      <groupName>格式问题</groupName>
      <ability>L2_HalfPunc</ability>
      <abilityName>全半角检查</abilityName>
      <candidateList>
        <item>）</item>
      </candidateList>
      <explain>文本全半角错误。</explain>
      <paraID>19991CEF</paraID>
      <start>4</start>
      <end>5</end>
      <status>modified</status>
      <modifiedWord>）</modifiedWord>
      <trackRevisions>false</trackRevisions>
    </reviewItem>
    <reviewItem>
      <errorID>901f2974-b71d-4a13-88c2-bfc336c021f3</errorID>
      <errorWord>无须</errorWord>
      <group>L1_Word</group>
      <groupName>字词问题</groupName>
      <ability>L2_Typo</ability>
      <abilityName>字词错误</abilityName>
      <candidateList>
        <item>无需</item>
      </candidateList>
      <explain>存在发音相同字词的误用。</explain>
      <paraID>4E2D07FE</paraID>
      <start>0</start>
      <end>2</end>
      <status>modified</status>
      <modifiedWord>无需</modifiedWord>
      <trackRevisions>false</trackRevisions>
    </reviewItem>
    <reviewItem>
      <errorID>4caaa5bd-ac1d-4de1-9e6e-943cd3121d70</errorID>
      <errorWord>(</errorWord>
      <group>L1_Format</group>
      <groupName>格式问题</groupName>
      <ability>L2_HalfPunc</ability>
      <abilityName>全半角检查</abilityName>
      <candidateList>
        <item>（</item>
      </candidateList>
      <explain>文本全半角错误。</explain>
      <paraID>1D36DD70</paraID>
      <start>4</start>
      <end>5</end>
      <status>modified</status>
      <modifiedWord>（</modifiedWord>
      <trackRevisions>false</trackRevisions>
    </reviewItem>
    <reviewItem>
      <errorID>7ec699d5-11b1-4958-80f2-557e7db0c8cc</errorID>
      <errorWord>)</errorWord>
      <group>L1_Format</group>
      <groupName>格式问题</groupName>
      <ability>L2_HalfPunc</ability>
      <abilityName>全半角检查</abilityName>
      <candidateList>
        <item>）</item>
      </candidateList>
      <explain>文本全半角错误。</explain>
      <paraID>1D36DD70</paraID>
      <start>7</start>
      <end>8</end>
      <status>modified</status>
      <modifiedWord>）</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67be83-f4c3-4f59-b829-21bec3d78034}">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5643</Words>
  <Characters>5676</Characters>
  <Lines>0</Lines>
  <Paragraphs>0</Paragraphs>
  <TotalTime>0</TotalTime>
  <ScaleCrop>false</ScaleCrop>
  <LinksUpToDate>false</LinksUpToDate>
  <CharactersWithSpaces>6009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2026-03-01T01:37:00Z</dcterms:created>
  <dc:creator>123</dc:creator>
  <cp:lastModifiedBy>123</cp:lastModifiedBy>
  <dcterms:modified xsi:type="dcterms:W3CDTF">2026-05-11T08:43:50Z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6EE89D7123EB4B0393B0501E8ACB47A6_11</vt:lpwstr>
  </property>
  <property fmtid="{D5CDD505-2E9C-101B-9397-08002B2CF9AE}" pid="4" name="KSOTemplateDocerSaveRecord">
    <vt:lpwstr>eyJoZGlkIjoiNDE3N2IxYmI5MjUzOTNjNjIwY2VlZDM0ZjFmYTI3MmIiLCJ1c2VySWQiOiIyODMzMDQ1NTEifQ==</vt:lpwstr>
  </property>
</Properties>
</file>