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172D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hint="default" w:ascii="黑体" w:hAnsi="黑体" w:eastAsia="黑体" w:cs="黑体"/>
          <w:highlight w:val="none"/>
          <w:lang w:val="en-US" w:eastAsia="zh-CN"/>
        </w:rPr>
      </w:pPr>
      <w:r>
        <w:rPr>
          <w:rFonts w:hint="eastAsia" w:ascii="黑体" w:hAnsi="黑体" w:eastAsia="黑体" w:cs="黑体"/>
          <w:highlight w:val="none"/>
          <w:lang w:val="en-US" w:eastAsia="zh-CN"/>
        </w:rPr>
        <w:t>附件2</w:t>
      </w:r>
    </w:p>
    <w:p w14:paraId="69556E1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highlight w:val="none"/>
          <w:lang w:val="en-US" w:eastAsia="zh-CN"/>
        </w:rPr>
      </w:pPr>
    </w:p>
    <w:p w14:paraId="0CABF72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Style w:val="7"/>
          <w:rFonts w:hint="eastAsia" w:ascii="方正小标宋_GBK" w:hAnsi="方正小标宋_GBK" w:eastAsia="方正小标宋_GBK" w:cs="方正小标宋_GBK"/>
          <w:b w:val="0"/>
          <w:bCs/>
          <w:spacing w:val="-11"/>
          <w:sz w:val="44"/>
          <w:szCs w:val="44"/>
          <w:highlight w:val="none"/>
          <w:lang w:val="en-US" w:eastAsia="zh-CN"/>
        </w:rPr>
      </w:pPr>
      <w:r>
        <w:rPr>
          <w:rStyle w:val="7"/>
          <w:rFonts w:hint="eastAsia" w:ascii="方正小标宋_GBK" w:hAnsi="方正小标宋_GBK" w:eastAsia="方正小标宋_GBK" w:cs="方正小标宋_GBK"/>
          <w:b w:val="0"/>
          <w:bCs/>
          <w:spacing w:val="-11"/>
          <w:sz w:val="44"/>
          <w:szCs w:val="44"/>
          <w:highlight w:val="none"/>
          <w:lang w:val="en-US" w:eastAsia="zh-CN"/>
        </w:rPr>
        <w:t>赣州市长期护理保险失能等级评估机构定点管理</w:t>
      </w:r>
    </w:p>
    <w:p w14:paraId="7D1C523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Style w:val="7"/>
          <w:rFonts w:hint="eastAsia" w:ascii="方正小标宋简体" w:hAnsi="方正小标宋简体" w:eastAsia="方正小标宋简体" w:cs="方正小标宋简体"/>
          <w:b w:val="0"/>
          <w:bCs/>
          <w:sz w:val="44"/>
          <w:szCs w:val="44"/>
          <w:highlight w:val="none"/>
          <w:lang w:val="en-US" w:eastAsia="zh-CN"/>
        </w:rPr>
      </w:pPr>
      <w:r>
        <w:rPr>
          <w:rStyle w:val="7"/>
          <w:rFonts w:hint="eastAsia" w:ascii="方正小标宋_GBK" w:hAnsi="方正小标宋_GBK" w:eastAsia="方正小标宋_GBK" w:cs="方正小标宋_GBK"/>
          <w:b w:val="0"/>
          <w:bCs/>
          <w:sz w:val="44"/>
          <w:szCs w:val="44"/>
          <w:highlight w:val="none"/>
          <w:lang w:val="en-US" w:eastAsia="zh-CN"/>
        </w:rPr>
        <w:t>实施细则（试行）</w:t>
      </w:r>
      <w:r>
        <w:rPr>
          <w:rStyle w:val="7"/>
          <w:rFonts w:hint="eastAsia" w:ascii="方正小标宋简体" w:hAnsi="方正小标宋简体" w:eastAsia="方正小标宋简体" w:cs="方正小标宋简体"/>
          <w:b w:val="0"/>
          <w:bCs/>
          <w:sz w:val="44"/>
          <w:szCs w:val="44"/>
          <w:highlight w:val="none"/>
          <w:lang w:val="en-US" w:eastAsia="zh-CN"/>
        </w:rPr>
        <w:t>（征求意见稿）</w:t>
      </w:r>
    </w:p>
    <w:p w14:paraId="40B25D8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rPr>
      </w:pPr>
      <w:bookmarkStart w:id="0" w:name="_GoBack"/>
      <w:bookmarkEnd w:id="0"/>
    </w:p>
    <w:p w14:paraId="2B638AB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rPr>
      </w:pPr>
      <w:r>
        <w:rPr>
          <w:rFonts w:hint="eastAsia" w:ascii="黑体" w:hAnsi="黑体" w:eastAsia="黑体" w:cs="黑体"/>
          <w:highlight w:val="none"/>
        </w:rPr>
        <w:t>第一章 总则</w:t>
      </w:r>
    </w:p>
    <w:p w14:paraId="6E0118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第一条</w:t>
      </w:r>
      <w:r>
        <w:rPr>
          <w:rFonts w:hint="eastAsia" w:ascii="仿宋_GB2312" w:hAnsi="仿宋_GB2312" w:eastAsia="仿宋_GB2312" w:cs="仿宋_GB2312"/>
          <w:b w:val="0"/>
          <w:bCs w:val="0"/>
          <w:highlight w:val="none"/>
        </w:rPr>
        <w:t xml:space="preserve"> 为确定我市长期护理保险（以下简称“长护险”）失能等级评估机构准入条件</w:t>
      </w:r>
      <w:r>
        <w:rPr>
          <w:rFonts w:hint="eastAsia" w:ascii="仿宋_GB2312" w:hAnsi="仿宋_GB2312" w:eastAsia="仿宋_GB2312" w:cs="仿宋_GB2312"/>
          <w:b w:val="0"/>
          <w:bCs w:val="0"/>
          <w:highlight w:val="none"/>
          <w:lang w:eastAsia="zh-CN"/>
        </w:rPr>
        <w:t>，</w:t>
      </w:r>
      <w:r>
        <w:rPr>
          <w:rFonts w:hint="eastAsia" w:ascii="仿宋_GB2312" w:hAnsi="仿宋_GB2312" w:eastAsia="仿宋_GB2312" w:cs="仿宋_GB2312"/>
          <w:highlight w:val="none"/>
        </w:rPr>
        <w:t>加强定点评估机构运行监管，提升评估服务质量，保障长护险基金安全与参保人权益，促进制度健康可持续发展，根据《国家医保局 财政部关于印发〈长期护理保险失能等级评估管理办法（试行）〉的通知》（医保发〔2023〕29号）、《国家医保局关于印发〈长期护理保险失能等级评估机构定点管理办法（试行）〉的通知》（医保发〔2024〕13号）等文件要求，结合本市实际，制定本</w:t>
      </w:r>
      <w:r>
        <w:rPr>
          <w:rFonts w:hint="eastAsia" w:ascii="仿宋_GB2312" w:hAnsi="仿宋_GB2312" w:eastAsia="仿宋_GB2312" w:cs="仿宋_GB2312"/>
          <w:highlight w:val="none"/>
          <w:lang w:val="en-US" w:eastAsia="zh-CN"/>
        </w:rPr>
        <w:t>管理</w:t>
      </w:r>
      <w:r>
        <w:rPr>
          <w:rFonts w:hint="eastAsia" w:ascii="仿宋_GB2312" w:hAnsi="仿宋_GB2312" w:eastAsia="仿宋_GB2312" w:cs="仿宋_GB2312"/>
          <w:highlight w:val="none"/>
        </w:rPr>
        <w:t>办法。</w:t>
      </w:r>
    </w:p>
    <w:p w14:paraId="0A1EAB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第二条 </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所称的长期护理保险失能等级评估定点机构（以下简称“定点评估机构”），是指按照全市统一规定</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经评估准入，由</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与之签订</w:t>
      </w:r>
      <w:r>
        <w:rPr>
          <w:rFonts w:hint="eastAsia" w:ascii="仿宋_GB2312" w:hAnsi="仿宋_GB2312" w:cs="仿宋_GB2312"/>
          <w:highlight w:val="none"/>
          <w:lang w:eastAsia="zh-CN"/>
        </w:rPr>
        <w:t>评估</w:t>
      </w:r>
      <w:r>
        <w:rPr>
          <w:rFonts w:hint="eastAsia" w:ascii="仿宋_GB2312" w:hAnsi="仿宋_GB2312" w:eastAsia="仿宋_GB2312" w:cs="仿宋_GB2312"/>
          <w:highlight w:val="none"/>
        </w:rPr>
        <w:t>服务协议</w:t>
      </w:r>
      <w:r>
        <w:rPr>
          <w:rFonts w:hint="eastAsia" w:ascii="仿宋_GB2312" w:hAnsi="仿宋_GB2312" w:cs="仿宋_GB2312"/>
          <w:highlight w:val="none"/>
          <w:lang w:eastAsia="zh-CN"/>
        </w:rPr>
        <w:t>（以下简称“协议”）</w:t>
      </w:r>
      <w:r>
        <w:rPr>
          <w:rFonts w:hint="eastAsia" w:ascii="仿宋_GB2312" w:hAnsi="仿宋_GB2312" w:eastAsia="仿宋_GB2312" w:cs="仿宋_GB2312"/>
          <w:highlight w:val="none"/>
        </w:rPr>
        <w:t>，为长护险参保人员提供长期护理保险失能等级评估服务的专业机构。</w:t>
      </w:r>
    </w:p>
    <w:p w14:paraId="57B2F0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第三条 </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适用于本市</w:t>
      </w:r>
      <w:r>
        <w:rPr>
          <w:rFonts w:hint="eastAsia" w:ascii="仿宋_GB2312" w:hAnsi="仿宋_GB2312" w:eastAsia="仿宋_GB2312" w:cs="仿宋_GB2312"/>
          <w:highlight w:val="none"/>
          <w:lang w:val="en-US" w:eastAsia="zh-CN"/>
        </w:rPr>
        <w:t>定点评估机构</w:t>
      </w:r>
      <w:r>
        <w:rPr>
          <w:rFonts w:hint="eastAsia" w:ascii="仿宋_GB2312" w:hAnsi="仿宋_GB2312" w:eastAsia="仿宋_GB2312" w:cs="仿宋_GB2312"/>
          <w:highlight w:val="none"/>
        </w:rPr>
        <w:t>的定点确定、协议管理、运行监测、监督管理等工作。定点管理应坚持以人民健康为中心，遵循总量控制、公平公正、权责明晰、动态管理的原则</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不断提升定点管理效能，促进评估行业有序发展，为参保人提供客观公正的评估服务</w:t>
      </w:r>
      <w:r>
        <w:rPr>
          <w:rFonts w:hint="eastAsia" w:ascii="仿宋_GB2312" w:hAnsi="仿宋_GB2312" w:eastAsia="仿宋_GB2312" w:cs="仿宋_GB2312"/>
          <w:highlight w:val="none"/>
        </w:rPr>
        <w:t>。</w:t>
      </w:r>
    </w:p>
    <w:p w14:paraId="0B7DA6D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第四条 </w:t>
      </w:r>
      <w:r>
        <w:rPr>
          <w:rFonts w:hint="eastAsia" w:ascii="仿宋_GB2312" w:hAnsi="仿宋_GB2312" w:eastAsia="仿宋_GB2312" w:cs="仿宋_GB2312"/>
          <w:highlight w:val="none"/>
        </w:rPr>
        <w:t>市医疗保障行政部门负责制定评估机构定点管理</w:t>
      </w:r>
      <w:r>
        <w:rPr>
          <w:rFonts w:hint="eastAsia" w:ascii="仿宋_GB2312" w:hAnsi="仿宋_GB2312" w:eastAsia="仿宋_GB2312" w:cs="仿宋_GB2312"/>
          <w:highlight w:val="none"/>
          <w:lang w:val="en-US" w:eastAsia="zh-CN"/>
        </w:rPr>
        <w:t>实施细则</w:t>
      </w:r>
      <w:r>
        <w:rPr>
          <w:rFonts w:hint="eastAsia" w:ascii="仿宋_GB2312" w:hAnsi="仿宋_GB2312" w:cs="仿宋_GB2312"/>
          <w:highlight w:val="none"/>
          <w:lang w:val="en-US" w:eastAsia="zh-CN"/>
        </w:rPr>
        <w:t>；</w:t>
      </w:r>
      <w:r>
        <w:rPr>
          <w:rFonts w:hint="eastAsia" w:ascii="仿宋_GB2312" w:hAnsi="仿宋_GB2312" w:eastAsia="仿宋_GB2312" w:cs="仿宋_GB2312"/>
          <w:highlight w:val="none"/>
          <w:lang w:val="en-US" w:eastAsia="zh-CN"/>
        </w:rPr>
        <w:t>市医疗保障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负责</w:t>
      </w:r>
      <w:r>
        <w:rPr>
          <w:rFonts w:hint="eastAsia" w:ascii="仿宋_GB2312" w:hAnsi="仿宋_GB2312" w:eastAsia="仿宋_GB2312" w:cs="仿宋_GB2312"/>
          <w:highlight w:val="none"/>
          <w:lang w:val="en-US" w:eastAsia="zh-CN"/>
        </w:rPr>
        <w:t>拟定协议</w:t>
      </w:r>
      <w:r>
        <w:rPr>
          <w:rFonts w:hint="eastAsia" w:ascii="仿宋_GB2312" w:hAnsi="仿宋_GB2312" w:cs="仿宋_GB2312"/>
          <w:highlight w:val="none"/>
          <w:lang w:val="en-US" w:eastAsia="zh-CN"/>
        </w:rPr>
        <w:t>，负责定点长护服务机构准入的考察评估，</w:t>
      </w:r>
      <w:r>
        <w:rPr>
          <w:rFonts w:hint="eastAsia" w:ascii="仿宋_GB2312" w:hAnsi="仿宋_GB2312" w:eastAsia="仿宋_GB2312" w:cs="仿宋_GB2312"/>
          <w:highlight w:val="none"/>
        </w:rPr>
        <w:t>指导</w:t>
      </w:r>
      <w:r>
        <w:rPr>
          <w:rFonts w:hint="eastAsia" w:ascii="仿宋_GB2312" w:hAnsi="仿宋_GB2312" w:eastAsia="仿宋_GB2312" w:cs="仿宋_GB2312"/>
          <w:highlight w:val="none"/>
          <w:lang w:val="en-US" w:eastAsia="zh-CN"/>
        </w:rPr>
        <w:t>各</w:t>
      </w:r>
      <w:r>
        <w:rPr>
          <w:rFonts w:hint="eastAsia" w:ascii="仿宋_GB2312" w:hAnsi="仿宋_GB2312" w:eastAsia="仿宋_GB2312" w:cs="仿宋_GB2312"/>
          <w:highlight w:val="none"/>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做好评估机构</w:t>
      </w:r>
      <w:r>
        <w:rPr>
          <w:rFonts w:hint="eastAsia" w:ascii="仿宋_GB2312" w:hAnsi="仿宋_GB2312" w:eastAsia="仿宋_GB2312" w:cs="仿宋_GB2312"/>
          <w:highlight w:val="none"/>
        </w:rPr>
        <w:t>定点管理</w:t>
      </w:r>
      <w:r>
        <w:rPr>
          <w:rFonts w:hint="eastAsia" w:ascii="仿宋_GB2312" w:hAnsi="仿宋_GB2312" w:eastAsia="仿宋_GB2312" w:cs="仿宋_GB2312"/>
          <w:highlight w:val="none"/>
          <w:lang w:val="en-US" w:eastAsia="zh-CN"/>
        </w:rPr>
        <w:t>服务</w:t>
      </w:r>
      <w:r>
        <w:rPr>
          <w:rFonts w:hint="eastAsia" w:ascii="仿宋_GB2312" w:hAnsi="仿宋_GB2312" w:eastAsia="仿宋_GB2312" w:cs="仿宋_GB2312"/>
          <w:highlight w:val="none"/>
        </w:rPr>
        <w:t>工作</w:t>
      </w:r>
      <w:r>
        <w:rPr>
          <w:rFonts w:hint="eastAsia" w:ascii="仿宋_GB2312" w:hAnsi="仿宋_GB2312" w:cs="仿宋_GB2312"/>
          <w:highlight w:val="none"/>
          <w:lang w:eastAsia="zh-CN"/>
        </w:rPr>
        <w:t>；</w:t>
      </w:r>
      <w:r>
        <w:rPr>
          <w:rFonts w:hint="eastAsia" w:ascii="仿宋_GB2312" w:hAnsi="仿宋_GB2312" w:eastAsia="仿宋_GB2312" w:cs="仿宋_GB2312"/>
          <w:highlight w:val="none"/>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负责定点评估机构</w:t>
      </w:r>
      <w:r>
        <w:rPr>
          <w:rFonts w:hint="eastAsia" w:ascii="仿宋_GB2312" w:hAnsi="仿宋_GB2312" w:eastAsia="仿宋_GB2312" w:cs="仿宋_GB2312"/>
          <w:highlight w:val="none"/>
        </w:rPr>
        <w:t>的申请受理、协议签订、协议履行</w:t>
      </w:r>
      <w:r>
        <w:rPr>
          <w:rFonts w:hint="eastAsia" w:ascii="仿宋_GB2312" w:hAnsi="仿宋_GB2312" w:eastAsia="仿宋_GB2312" w:cs="仿宋_GB2312"/>
          <w:highlight w:val="none"/>
          <w:lang w:val="en-US" w:eastAsia="zh-CN"/>
        </w:rPr>
        <w:t>及</w:t>
      </w:r>
      <w:r>
        <w:rPr>
          <w:rFonts w:hint="eastAsia" w:ascii="仿宋_GB2312" w:hAnsi="仿宋_GB2312" w:eastAsia="仿宋_GB2312" w:cs="仿宋_GB2312"/>
          <w:highlight w:val="none"/>
        </w:rPr>
        <w:t>日常管理等工作</w:t>
      </w:r>
      <w:r>
        <w:rPr>
          <w:rFonts w:hint="eastAsia" w:ascii="仿宋_GB2312" w:hAnsi="仿宋_GB2312" w:cs="仿宋_GB2312"/>
          <w:highlight w:val="none"/>
          <w:lang w:eastAsia="zh-CN"/>
        </w:rPr>
        <w:t>；</w:t>
      </w:r>
      <w:r>
        <w:rPr>
          <w:rFonts w:hint="eastAsia" w:ascii="仿宋_GB2312" w:hAnsi="仿宋_GB2312" w:eastAsia="仿宋_GB2312" w:cs="仿宋_GB2312"/>
          <w:highlight w:val="none"/>
        </w:rPr>
        <w:t>县（市、区）医疗保障行政部门负责对</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及定点评估机构的</w:t>
      </w:r>
      <w:r>
        <w:rPr>
          <w:rFonts w:hint="eastAsia" w:ascii="仿宋_GB2312" w:hAnsi="仿宋_GB2312" w:eastAsia="仿宋_GB2312" w:cs="仿宋_GB2312"/>
          <w:highlight w:val="none"/>
          <w:lang w:val="en-US" w:eastAsia="zh-CN"/>
        </w:rPr>
        <w:t>有关行为</w:t>
      </w:r>
      <w:r>
        <w:rPr>
          <w:rFonts w:hint="eastAsia" w:ascii="仿宋_GB2312" w:hAnsi="仿宋_GB2312" w:eastAsia="仿宋_GB2312" w:cs="仿宋_GB2312"/>
          <w:highlight w:val="none"/>
        </w:rPr>
        <w:t>进行监督。</w:t>
      </w:r>
    </w:p>
    <w:p w14:paraId="0CF425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第五条 </w:t>
      </w:r>
      <w:r>
        <w:rPr>
          <w:rFonts w:hint="eastAsia" w:ascii="仿宋_GB2312" w:hAnsi="仿宋_GB2312" w:eastAsia="仿宋_GB2312" w:cs="仿宋_GB2312"/>
          <w:highlight w:val="none"/>
        </w:rPr>
        <w:t>市医疗保障行政部门应综合考虑本市失能人员规模、评估业务需求、评估资源分布及管理服务能力等因素，合理规划</w:t>
      </w:r>
      <w:r>
        <w:rPr>
          <w:rFonts w:hint="eastAsia" w:ascii="仿宋_GB2312" w:hAnsi="仿宋_GB2312" w:eastAsia="仿宋_GB2312" w:cs="仿宋_GB2312"/>
          <w:highlight w:val="none"/>
          <w:lang w:val="en-US" w:eastAsia="zh-CN"/>
        </w:rPr>
        <w:t>配置</w:t>
      </w:r>
      <w:r>
        <w:rPr>
          <w:rFonts w:hint="eastAsia" w:ascii="仿宋_GB2312" w:hAnsi="仿宋_GB2312" w:eastAsia="仿宋_GB2312" w:cs="仿宋_GB2312"/>
          <w:highlight w:val="none"/>
        </w:rPr>
        <w:t>并动态调整各县（市、区）定点评估机构的总量，促进评估服务市场有序发展。</w:t>
      </w:r>
      <w:r>
        <w:rPr>
          <w:rFonts w:hint="eastAsia" w:ascii="仿宋_GB2312" w:hAnsi="仿宋_GB2312" w:cs="仿宋_GB2312"/>
          <w:highlight w:val="none"/>
          <w:lang w:val="en-US" w:eastAsia="zh-CN"/>
        </w:rPr>
        <w:t>实施初期，当已定点的评估机构拥有的评估人员满足各县（市）区每3.5万名长护险参保人员配备2名评估员的标准时，原则上暂停新增定点评估机构。</w:t>
      </w:r>
    </w:p>
    <w:p w14:paraId="3CC044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p>
    <w:p w14:paraId="4C4F4F8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r>
        <w:rPr>
          <w:rFonts w:hint="eastAsia" w:ascii="国标黑体" w:hAnsi="国标黑体" w:eastAsia="国标黑体" w:cs="国标黑体"/>
          <w:highlight w:val="none"/>
        </w:rPr>
        <w:t>第二章 评估准入</w:t>
      </w:r>
    </w:p>
    <w:p w14:paraId="48CA169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第六条 </w:t>
      </w:r>
      <w:r>
        <w:rPr>
          <w:rFonts w:hint="eastAsia" w:ascii="仿宋_GB2312" w:hAnsi="仿宋_GB2312" w:eastAsia="仿宋_GB2312" w:cs="仿宋_GB2312"/>
          <w:highlight w:val="none"/>
          <w:lang w:val="en-US" w:eastAsia="zh-CN"/>
        </w:rPr>
        <w:t>定点评估机构应具备专业性、稳定性、权威性。</w:t>
      </w:r>
      <w:r>
        <w:rPr>
          <w:rFonts w:hint="eastAsia" w:ascii="仿宋_GB2312" w:hAnsi="仿宋_GB2312" w:eastAsia="仿宋_GB2312" w:cs="仿宋_GB2312"/>
          <w:highlight w:val="none"/>
        </w:rPr>
        <w:t>申请成为定点评估机构</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应同时具备以下</w:t>
      </w:r>
      <w:r>
        <w:rPr>
          <w:rFonts w:hint="eastAsia" w:ascii="仿宋_GB2312" w:hAnsi="仿宋_GB2312" w:eastAsia="仿宋_GB2312" w:cs="仿宋_GB2312"/>
          <w:highlight w:val="none"/>
          <w:lang w:val="en-US" w:eastAsia="zh-CN"/>
        </w:rPr>
        <w:t>基本</w:t>
      </w:r>
      <w:r>
        <w:rPr>
          <w:rFonts w:hint="eastAsia" w:ascii="仿宋_GB2312" w:hAnsi="仿宋_GB2312" w:eastAsia="仿宋_GB2312" w:cs="仿宋_GB2312"/>
          <w:highlight w:val="none"/>
        </w:rPr>
        <w:t>条件：</w:t>
      </w:r>
    </w:p>
    <w:p w14:paraId="5393E3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（一）主体资格</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在本市依法登记注册的</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能够开展失能等级评估工作且</w:t>
      </w:r>
      <w:r>
        <w:rPr>
          <w:rFonts w:hint="eastAsia" w:ascii="仿宋_GB2312" w:hAnsi="仿宋_GB2312" w:eastAsia="仿宋_GB2312" w:cs="仿宋_GB2312"/>
          <w:highlight w:val="none"/>
        </w:rPr>
        <w:t>正式开展业务运营满3个月</w:t>
      </w:r>
      <w:r>
        <w:rPr>
          <w:rFonts w:hint="eastAsia" w:ascii="仿宋_GB2312" w:hAnsi="仿宋_GB2312" w:eastAsia="仿宋_GB2312" w:cs="仿宋_GB2312"/>
          <w:highlight w:val="none"/>
          <w:lang w:val="en-US" w:eastAsia="zh-CN"/>
        </w:rPr>
        <w:t>的</w:t>
      </w:r>
      <w:r>
        <w:rPr>
          <w:rFonts w:hint="eastAsia" w:ascii="仿宋_GB2312" w:hAnsi="仿宋_GB2312" w:eastAsia="仿宋_GB2312" w:cs="仿宋_GB2312"/>
          <w:highlight w:val="none"/>
        </w:rPr>
        <w:t>民办非企业单位或事业单位，包括符合卫健部门要求的各级综合医院、中医院、专科医院、基层卫生服务机构，以及非营利性社会组织（养老院、敬老院、福利院）、专业评估机构、司法鉴定中心等。</w:t>
      </w:r>
    </w:p>
    <w:p w14:paraId="0C0BBD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highlight w:val="none"/>
          <w:lang w:val="en-US" w:eastAsia="zh-CN"/>
        </w:rPr>
        <w:t>定点评估机构不得同时承担依评估结论而开展的长期护理服务工作，不得同时承担长期护理保险经办工作。</w:t>
      </w:r>
    </w:p>
    <w:p w14:paraId="51A756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二</w:t>
      </w:r>
      <w:r>
        <w:rPr>
          <w:rFonts w:hint="eastAsia" w:ascii="仿宋_GB2312" w:hAnsi="仿宋_GB2312" w:eastAsia="仿宋_GB2312" w:cs="仿宋_GB2312"/>
          <w:highlight w:val="none"/>
        </w:rPr>
        <w:t>）人员配置</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评估人员总数不少于6人，其中具有医学、护理、康复、心理、长期照护或养老服务与管理等相关专业背景且具备2年以上相关工作经验的评估人员比例不低于50%（即不少于3人）。评估负责人须满足此专业背景和工作经验要求</w:t>
      </w:r>
      <w:r>
        <w:rPr>
          <w:rFonts w:hint="eastAsia" w:ascii="仿宋_GB2312" w:hAnsi="仿宋_GB2312" w:eastAsia="仿宋_GB2312" w:cs="仿宋_GB2312"/>
          <w:highlight w:val="none"/>
          <w:lang w:val="en-US" w:eastAsia="zh-CN"/>
        </w:rPr>
        <w:t>且为评估专家</w:t>
      </w:r>
      <w:r>
        <w:rPr>
          <w:rFonts w:hint="eastAsia" w:ascii="仿宋_GB2312" w:hAnsi="仿宋_GB2312" w:eastAsia="仿宋_GB2312" w:cs="仿宋_GB2312"/>
          <w:highlight w:val="none"/>
        </w:rPr>
        <w:t>。专职管理人员不少于2人，信息技术管理维护人员不少于1人。所有评估及管理人员均须参加长护险相关培训并考核合格，熟悉评估标准与操作要求，无相关违法违规违纪记录。</w:t>
      </w:r>
    </w:p>
    <w:p w14:paraId="40BE0B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三</w:t>
      </w:r>
      <w:r>
        <w:rPr>
          <w:rFonts w:hint="eastAsia" w:ascii="仿宋_GB2312" w:hAnsi="仿宋_GB2312" w:eastAsia="仿宋_GB2312" w:cs="仿宋_GB2312"/>
          <w:highlight w:val="none"/>
        </w:rPr>
        <w:t>）场地设施</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具有固定的、使用期限不少于2年的办公场所，并配备符合协议要求的软</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硬件设备。</w:t>
      </w:r>
    </w:p>
    <w:p w14:paraId="26FA99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四</w:t>
      </w:r>
      <w:r>
        <w:rPr>
          <w:rFonts w:hint="eastAsia" w:ascii="仿宋_GB2312" w:hAnsi="仿宋_GB2312" w:eastAsia="仿宋_GB2312" w:cs="仿宋_GB2312"/>
          <w:highlight w:val="none"/>
        </w:rPr>
        <w:t>）管理制度</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具有</w:t>
      </w:r>
      <w:r>
        <w:rPr>
          <w:rFonts w:hint="eastAsia" w:ascii="仿宋_GB2312" w:hAnsi="仿宋_GB2312" w:eastAsia="仿宋_GB2312" w:cs="仿宋_GB2312"/>
          <w:highlight w:val="none"/>
        </w:rPr>
        <w:t>符合协议要求的服务管理、财务管理、信息统计、内控管理、人员管理和档案管理等制度。</w:t>
      </w:r>
    </w:p>
    <w:p w14:paraId="6F26BA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五</w:t>
      </w:r>
      <w:r>
        <w:rPr>
          <w:rFonts w:hint="eastAsia" w:ascii="仿宋_GB2312" w:hAnsi="仿宋_GB2312" w:eastAsia="仿宋_GB2312" w:cs="仿宋_GB2312"/>
          <w:highlight w:val="none"/>
        </w:rPr>
        <w:t>）信息系统</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配备符合本市长期护理保险信息管理系统联网要求的计算机管理系统，并能有效使用全国统一的医保信息平台相关功能模块，配备相应的管理和操作人员。</w:t>
      </w:r>
    </w:p>
    <w:p w14:paraId="493183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六</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符合法律法规和省、市医疗保障行政部门规定的其他条件。</w:t>
      </w:r>
    </w:p>
    <w:p w14:paraId="6ACD95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七</w:t>
      </w:r>
      <w:r>
        <w:rPr>
          <w:rFonts w:hint="eastAsia" w:ascii="仿宋_GB2312" w:hAnsi="仿宋_GB2312" w:eastAsia="仿宋_GB2312" w:cs="仿宋_GB2312"/>
          <w:highlight w:val="none"/>
        </w:rPr>
        <w:t>）其他失能评估相关工作要求。</w:t>
      </w:r>
    </w:p>
    <w:p w14:paraId="4A8B259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第七条 </w:t>
      </w:r>
      <w:r>
        <w:rPr>
          <w:rFonts w:hint="eastAsia" w:ascii="仿宋_GB2312" w:hAnsi="仿宋_GB2312" w:eastAsia="仿宋_GB2312" w:cs="仿宋_GB2312"/>
          <w:highlight w:val="none"/>
          <w:lang w:val="en-US" w:eastAsia="zh-CN"/>
        </w:rPr>
        <w:t>评估</w:t>
      </w:r>
      <w:r>
        <w:rPr>
          <w:rFonts w:hint="eastAsia" w:ascii="仿宋_GB2312" w:hAnsi="仿宋_GB2312" w:eastAsia="仿宋_GB2312" w:cs="仿宋_GB2312"/>
          <w:highlight w:val="none"/>
        </w:rPr>
        <w:t>机构可自愿向所在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提出书面申请，并提交以下材料（复印件需加盖单位公章）：</w:t>
      </w:r>
    </w:p>
    <w:p w14:paraId="6666B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cs="仿宋_GB2312"/>
          <w:highlight w:val="none"/>
          <w:lang w:eastAsia="zh-CN"/>
        </w:rPr>
        <w:t>（一）</w:t>
      </w:r>
      <w:r>
        <w:rPr>
          <w:rFonts w:hint="eastAsia" w:ascii="仿宋_GB2312" w:hAnsi="仿宋_GB2312" w:eastAsia="仿宋_GB2312" w:cs="仿宋_GB2312"/>
          <w:highlight w:val="none"/>
        </w:rPr>
        <w:t>《赣州市长期护理保险定点失能等级评估机构申请表》</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见附件</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w:t>
      </w:r>
    </w:p>
    <w:p w14:paraId="471E53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（二）《医疗机构执业许可证</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养老机构设立许可证》、司法鉴定许可证等行业资质证照的正、副本复印件。</w:t>
      </w:r>
    </w:p>
    <w:p w14:paraId="502745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（三）《事业单位法人证书</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民办非企业单位登记证书》或《营业执照》正、副本复印件。</w:t>
      </w:r>
    </w:p>
    <w:p w14:paraId="2527F6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（四）业务用房产权证明或剩余有效期不少于2年的租赁合同复印件。</w:t>
      </w:r>
    </w:p>
    <w:p w14:paraId="28B17A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（五）机构工作人员花名册、劳动合同（或劳务/聘用合同）、相关职业资格证书复印件。</w:t>
      </w:r>
    </w:p>
    <w:p w14:paraId="48CC9E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（六）机构信息管理系统符合本市联网要求的说明材料或承诺书。</w:t>
      </w:r>
    </w:p>
    <w:p w14:paraId="06A977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（七）按要求需提供的其他材料。</w:t>
      </w:r>
    </w:p>
    <w:p w14:paraId="541AC3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第八条 </w:t>
      </w:r>
      <w:r>
        <w:rPr>
          <w:rFonts w:hint="eastAsia" w:ascii="仿宋_GB2312" w:hAnsi="仿宋_GB2312" w:eastAsia="仿宋_GB2312" w:cs="仿宋_GB2312"/>
          <w:highlight w:val="none"/>
        </w:rPr>
        <w:t>机构有下列情形之一的，不予受理定点申请：</w:t>
      </w:r>
    </w:p>
    <w:p w14:paraId="68B0C6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（一）采取伪造、篡改申请材料等不正当手段申请定点</w:t>
      </w:r>
      <w:r>
        <w:rPr>
          <w:rFonts w:hint="eastAsia" w:ascii="仿宋_GB2312" w:hAnsi="仿宋_GB2312" w:eastAsia="仿宋_GB2312" w:cs="仿宋_GB2312"/>
          <w:highlight w:val="none"/>
          <w:lang w:val="en-US" w:eastAsia="zh-CN"/>
        </w:rPr>
        <w:t>评估机构，自发现之日起未满3年</w:t>
      </w:r>
      <w:r>
        <w:rPr>
          <w:rFonts w:hint="eastAsia" w:ascii="仿宋_GB2312" w:hAnsi="仿宋_GB2312" w:eastAsia="仿宋_GB2312" w:cs="仿宋_GB2312"/>
          <w:highlight w:val="none"/>
        </w:rPr>
        <w:t>的</w:t>
      </w:r>
      <w:r>
        <w:rPr>
          <w:rFonts w:hint="eastAsia" w:ascii="仿宋_GB2312" w:hAnsi="仿宋_GB2312" w:eastAsia="仿宋_GB2312" w:cs="仿宋_GB2312"/>
          <w:highlight w:val="none"/>
          <w:lang w:eastAsia="zh-CN"/>
        </w:rPr>
        <w:t>；</w:t>
      </w:r>
    </w:p>
    <w:p w14:paraId="5C17B8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（二）因违法违规被解除协议未满3年，或已满3年但未完全履行相应法律责任或违约责任的</w:t>
      </w:r>
      <w:r>
        <w:rPr>
          <w:rFonts w:hint="eastAsia" w:ascii="仿宋_GB2312" w:hAnsi="仿宋_GB2312" w:eastAsia="仿宋_GB2312" w:cs="仿宋_GB2312"/>
          <w:highlight w:val="none"/>
          <w:lang w:eastAsia="zh-CN"/>
        </w:rPr>
        <w:t>；</w:t>
      </w:r>
    </w:p>
    <w:p w14:paraId="6E4AE4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（三）因严重违</w:t>
      </w:r>
      <w:r>
        <w:rPr>
          <w:rFonts w:hint="eastAsia" w:ascii="仿宋_GB2312" w:hAnsi="仿宋_GB2312" w:eastAsia="仿宋_GB2312" w:cs="仿宋_GB2312"/>
          <w:highlight w:val="none"/>
          <w:lang w:val="en-US" w:eastAsia="zh-CN"/>
        </w:rPr>
        <w:t>反协议约定而</w:t>
      </w:r>
      <w:r>
        <w:rPr>
          <w:rFonts w:hint="eastAsia" w:ascii="仿宋_GB2312" w:hAnsi="仿宋_GB2312" w:eastAsia="仿宋_GB2312" w:cs="仿宋_GB2312"/>
          <w:highlight w:val="none"/>
        </w:rPr>
        <w:t>被解除协议未满1年或已满1年但未完全履行违约责任的</w:t>
      </w:r>
      <w:r>
        <w:rPr>
          <w:rFonts w:hint="eastAsia" w:ascii="仿宋_GB2312" w:hAnsi="仿宋_GB2312" w:eastAsia="仿宋_GB2312" w:cs="仿宋_GB2312"/>
          <w:highlight w:val="none"/>
          <w:lang w:eastAsia="zh-CN"/>
        </w:rPr>
        <w:t>；</w:t>
      </w:r>
    </w:p>
    <w:p w14:paraId="0A9CCE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（四）</w:t>
      </w:r>
      <w:r>
        <w:rPr>
          <w:rFonts w:hint="eastAsia" w:ascii="仿宋_GB2312" w:hAnsi="仿宋_GB2312" w:eastAsia="仿宋_GB2312" w:cs="仿宋_GB2312"/>
          <w:strike w:val="0"/>
          <w:dstrike w:val="0"/>
          <w:highlight w:val="none"/>
        </w:rPr>
        <w:t>因</w:t>
      </w:r>
      <w:r>
        <w:rPr>
          <w:rFonts w:hint="eastAsia" w:ascii="仿宋_GB2312" w:hAnsi="仿宋_GB2312" w:eastAsia="仿宋_GB2312" w:cs="仿宋_GB2312"/>
          <w:highlight w:val="none"/>
        </w:rPr>
        <w:t>法定代表人、主要负责人或实际控制人违法违规导致</w:t>
      </w:r>
      <w:r>
        <w:rPr>
          <w:rFonts w:hint="eastAsia" w:ascii="仿宋_GB2312" w:hAnsi="仿宋_GB2312" w:eastAsia="仿宋_GB2312" w:cs="仿宋_GB2312"/>
          <w:strike w:val="0"/>
          <w:dstrike w:val="0"/>
          <w:highlight w:val="none"/>
        </w:rPr>
        <w:t>协议解除</w:t>
      </w:r>
      <w:r>
        <w:rPr>
          <w:rFonts w:hint="eastAsia" w:ascii="仿宋_GB2312" w:hAnsi="仿宋_GB2312" w:eastAsia="仿宋_GB2312" w:cs="仿宋_GB2312"/>
          <w:strike w:val="0"/>
          <w:dstrike w:val="0"/>
          <w:highlight w:val="none"/>
          <w:lang w:val="en-US" w:eastAsia="zh-CN"/>
        </w:rPr>
        <w:t>的</w:t>
      </w:r>
      <w:r>
        <w:rPr>
          <w:rFonts w:hint="eastAsia" w:ascii="仿宋_GB2312" w:hAnsi="仿宋_GB2312" w:eastAsia="仿宋_GB2312" w:cs="仿宋_GB2312"/>
          <w:strike w:val="0"/>
          <w:dstrike w:val="0"/>
          <w:highlight w:val="none"/>
        </w:rPr>
        <w:t>，其新成立机构未满3年的</w:t>
      </w:r>
      <w:r>
        <w:rPr>
          <w:rFonts w:hint="eastAsia" w:ascii="仿宋_GB2312" w:hAnsi="仿宋_GB2312" w:eastAsia="仿宋_GB2312" w:cs="仿宋_GB2312"/>
          <w:strike w:val="0"/>
          <w:dstrike w:val="0"/>
          <w:highlight w:val="none"/>
          <w:lang w:eastAsia="zh-CN"/>
        </w:rPr>
        <w:t>；</w:t>
      </w:r>
    </w:p>
    <w:p w14:paraId="717D59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（五）法定代表人、主要负责人或实际控制人被列入失信</w:t>
      </w:r>
      <w:r>
        <w:rPr>
          <w:rFonts w:hint="eastAsia" w:ascii="仿宋_GB2312" w:hAnsi="仿宋_GB2312" w:eastAsia="仿宋_GB2312" w:cs="仿宋_GB2312"/>
          <w:highlight w:val="none"/>
          <w:lang w:val="en-US" w:eastAsia="zh-CN"/>
        </w:rPr>
        <w:t>人</w:t>
      </w:r>
      <w:r>
        <w:rPr>
          <w:rFonts w:hint="eastAsia" w:ascii="仿宋_GB2312" w:hAnsi="仿宋_GB2312" w:eastAsia="仿宋_GB2312" w:cs="仿宋_GB2312"/>
          <w:highlight w:val="none"/>
        </w:rPr>
        <w:t>名单的</w:t>
      </w:r>
      <w:r>
        <w:rPr>
          <w:rFonts w:hint="eastAsia" w:ascii="仿宋_GB2312" w:hAnsi="仿宋_GB2312" w:eastAsia="仿宋_GB2312" w:cs="仿宋_GB2312"/>
          <w:highlight w:val="none"/>
          <w:lang w:eastAsia="zh-CN"/>
        </w:rPr>
        <w:t>；</w:t>
      </w:r>
    </w:p>
    <w:p w14:paraId="19E6C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（六）已</w:t>
      </w:r>
      <w:r>
        <w:rPr>
          <w:rFonts w:hint="eastAsia" w:ascii="仿宋_GB2312" w:hAnsi="仿宋_GB2312" w:eastAsia="仿宋_GB2312" w:cs="仿宋_GB2312"/>
          <w:highlight w:val="none"/>
          <w:lang w:val="en-US" w:eastAsia="zh-CN"/>
        </w:rPr>
        <w:t>成为</w:t>
      </w:r>
      <w:r>
        <w:rPr>
          <w:rFonts w:hint="eastAsia" w:ascii="仿宋_GB2312" w:hAnsi="仿宋_GB2312" w:eastAsia="仿宋_GB2312" w:cs="仿宋_GB2312"/>
          <w:highlight w:val="none"/>
        </w:rPr>
        <w:t>本市定点</w:t>
      </w:r>
      <w:r>
        <w:rPr>
          <w:rFonts w:hint="eastAsia" w:ascii="仿宋_GB2312" w:hAnsi="仿宋_GB2312" w:cs="仿宋_GB2312"/>
          <w:highlight w:val="none"/>
          <w:lang w:eastAsia="zh-CN"/>
        </w:rPr>
        <w:t>长护</w:t>
      </w:r>
      <w:r>
        <w:rPr>
          <w:rFonts w:hint="eastAsia" w:ascii="仿宋_GB2312" w:hAnsi="仿宋_GB2312" w:eastAsia="仿宋_GB2312" w:cs="仿宋_GB2312"/>
          <w:highlight w:val="none"/>
        </w:rPr>
        <w:t>服务机构</w:t>
      </w:r>
      <w:r>
        <w:rPr>
          <w:rFonts w:hint="eastAsia" w:ascii="仿宋_GB2312" w:hAnsi="仿宋_GB2312" w:eastAsia="仿宋_GB2312" w:cs="仿宋_GB2312"/>
          <w:highlight w:val="none"/>
          <w:lang w:val="en-US" w:eastAsia="zh-CN"/>
        </w:rPr>
        <w:t>的；</w:t>
      </w:r>
    </w:p>
    <w:p w14:paraId="65EBC4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cs="仿宋_GB2312"/>
          <w:highlight w:val="none"/>
          <w:lang w:val="en-US" w:eastAsia="zh-CN"/>
        </w:rPr>
        <w:t>（七）已承担我市长护险经办工作的；</w:t>
      </w:r>
    </w:p>
    <w:p w14:paraId="24D80C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w:t>
      </w:r>
      <w:r>
        <w:rPr>
          <w:rFonts w:hint="eastAsia" w:ascii="仿宋_GB2312" w:hAnsi="仿宋_GB2312" w:cs="仿宋_GB2312"/>
          <w:highlight w:val="none"/>
          <w:lang w:eastAsia="zh-CN"/>
        </w:rPr>
        <w:t>八</w:t>
      </w:r>
      <w:r>
        <w:rPr>
          <w:rFonts w:hint="eastAsia" w:ascii="仿宋_GB2312" w:hAnsi="仿宋_GB2312" w:eastAsia="仿宋_GB2312" w:cs="仿宋_GB2312"/>
          <w:highlight w:val="none"/>
        </w:rPr>
        <w:t>）不符合国家、省、市相关法律法规和政策规定的其他情形。</w:t>
      </w:r>
    </w:p>
    <w:p w14:paraId="2B6FA6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第九条 </w:t>
      </w:r>
      <w:r>
        <w:rPr>
          <w:rFonts w:hint="eastAsia" w:ascii="仿宋_GB2312" w:hAnsi="仿宋_GB2312" w:eastAsia="仿宋_GB2312" w:cs="仿宋_GB2312"/>
          <w:highlight w:val="none"/>
        </w:rPr>
        <w:t>定点评估机构的确定按以下流程进行：</w:t>
      </w:r>
    </w:p>
    <w:p w14:paraId="1C1220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（一）受理审核</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受理申请后，应及时组织初步审核。</w:t>
      </w:r>
      <w:r>
        <w:rPr>
          <w:rFonts w:hint="eastAsia" w:ascii="仿宋_GB2312" w:hAnsi="仿宋_GB2312" w:eastAsia="仿宋_GB2312" w:cs="仿宋_GB2312"/>
          <w:highlight w:val="none"/>
        </w:rPr>
        <w:t>对</w:t>
      </w:r>
      <w:r>
        <w:rPr>
          <w:rFonts w:hint="eastAsia" w:ascii="仿宋_GB2312" w:hAnsi="仿宋_GB2312" w:eastAsia="仿宋_GB2312" w:cs="仿宋_GB2312"/>
          <w:highlight w:val="none"/>
          <w:lang w:val="en-US" w:eastAsia="zh-CN"/>
        </w:rPr>
        <w:t>申请</w:t>
      </w:r>
      <w:r>
        <w:rPr>
          <w:rFonts w:hint="eastAsia" w:ascii="仿宋_GB2312" w:hAnsi="仿宋_GB2312" w:eastAsia="仿宋_GB2312" w:cs="仿宋_GB2312"/>
          <w:highlight w:val="none"/>
        </w:rPr>
        <w:t>材料</w:t>
      </w:r>
      <w:r>
        <w:rPr>
          <w:rFonts w:hint="eastAsia" w:ascii="仿宋_GB2312" w:hAnsi="仿宋_GB2312" w:eastAsia="仿宋_GB2312" w:cs="仿宋_GB2312"/>
          <w:highlight w:val="none"/>
          <w:lang w:val="en-US" w:eastAsia="zh-CN"/>
        </w:rPr>
        <w:t>内容</w:t>
      </w:r>
      <w:r>
        <w:rPr>
          <w:rFonts w:hint="eastAsia" w:ascii="仿宋_GB2312" w:hAnsi="仿宋_GB2312" w:eastAsia="仿宋_GB2312" w:cs="仿宋_GB2312"/>
          <w:highlight w:val="none"/>
        </w:rPr>
        <w:t>不全的，应在收到申请后5个工作日内一次性书面告知需补齐</w:t>
      </w:r>
      <w:r>
        <w:rPr>
          <w:rFonts w:hint="eastAsia" w:ascii="仿宋_GB2312" w:hAnsi="仿宋_GB2312" w:eastAsia="仿宋_GB2312" w:cs="仿宋_GB2312"/>
          <w:highlight w:val="none"/>
          <w:lang w:val="en-US" w:eastAsia="zh-CN"/>
        </w:rPr>
        <w:t>的材料</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对不符合申请条件的，应当及时告知并说明理由；对申请</w:t>
      </w:r>
      <w:r>
        <w:rPr>
          <w:rFonts w:hint="eastAsia" w:ascii="仿宋_GB2312" w:hAnsi="仿宋_GB2312" w:eastAsia="仿宋_GB2312" w:cs="仿宋_GB2312"/>
          <w:highlight w:val="none"/>
        </w:rPr>
        <w:t>材料齐全的，予以受理。</w:t>
      </w:r>
    </w:p>
    <w:p w14:paraId="268D40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（二）</w:t>
      </w:r>
      <w:r>
        <w:rPr>
          <w:rFonts w:hint="eastAsia" w:ascii="仿宋_GB2312" w:hAnsi="仿宋_GB2312" w:eastAsia="仿宋_GB2312" w:cs="仿宋_GB2312"/>
          <w:highlight w:val="none"/>
          <w:lang w:val="en-US" w:eastAsia="zh-CN"/>
        </w:rPr>
        <w:t>组织</w:t>
      </w:r>
      <w:r>
        <w:rPr>
          <w:rFonts w:hint="eastAsia" w:ascii="仿宋_GB2312" w:hAnsi="仿宋_GB2312" w:eastAsia="仿宋_GB2312" w:cs="仿宋_GB2312"/>
          <w:highlight w:val="none"/>
        </w:rPr>
        <w:t>评估</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初步审查通过后，</w:t>
      </w:r>
      <w:r>
        <w:rPr>
          <w:rFonts w:hint="eastAsia" w:ascii="仿宋_GB2312" w:hAnsi="仿宋_GB2312" w:cs="仿宋_GB2312"/>
          <w:highlight w:val="none"/>
          <w:lang w:val="en-US" w:eastAsia="zh-CN"/>
        </w:rPr>
        <w:t>市</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通过</w:t>
      </w:r>
      <w:r>
        <w:rPr>
          <w:rFonts w:hint="eastAsia" w:ascii="仿宋_GB2312" w:hAnsi="仿宋_GB2312" w:eastAsia="仿宋_GB2312" w:cs="仿宋_GB2312"/>
          <w:highlight w:val="none"/>
        </w:rPr>
        <w:t>采取书面</w:t>
      </w:r>
      <w:r>
        <w:rPr>
          <w:rFonts w:hint="eastAsia" w:ascii="仿宋_GB2312" w:hAnsi="仿宋_GB2312" w:eastAsia="仿宋_GB2312" w:cs="仿宋_GB2312"/>
          <w:highlight w:val="none"/>
          <w:lang w:val="en-US" w:eastAsia="zh-CN"/>
        </w:rPr>
        <w:t>查验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现场核查</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集体评议</w:t>
      </w:r>
      <w:r>
        <w:rPr>
          <w:rFonts w:hint="eastAsia" w:ascii="仿宋_GB2312" w:hAnsi="仿宋_GB2312" w:eastAsia="仿宋_GB2312" w:cs="仿宋_GB2312"/>
          <w:highlight w:val="none"/>
        </w:rPr>
        <w:t>等</w:t>
      </w:r>
      <w:r>
        <w:rPr>
          <w:rFonts w:hint="eastAsia" w:ascii="仿宋_GB2312" w:hAnsi="仿宋_GB2312" w:eastAsia="仿宋_GB2312" w:cs="仿宋_GB2312"/>
          <w:highlight w:val="none"/>
          <w:lang w:val="en-US" w:eastAsia="zh-CN"/>
        </w:rPr>
        <w:t>形式，组织对申请机构进行</w:t>
      </w:r>
      <w:r>
        <w:rPr>
          <w:rFonts w:hint="eastAsia" w:ascii="仿宋_GB2312" w:hAnsi="仿宋_GB2312" w:eastAsia="仿宋_GB2312" w:cs="仿宋_GB2312"/>
          <w:highlight w:val="none"/>
        </w:rPr>
        <w:t>综合</w:t>
      </w:r>
      <w:r>
        <w:rPr>
          <w:rFonts w:hint="eastAsia" w:ascii="仿宋_GB2312" w:hAnsi="仿宋_GB2312" w:eastAsia="仿宋_GB2312" w:cs="仿宋_GB2312"/>
          <w:highlight w:val="none"/>
          <w:lang w:val="en-US" w:eastAsia="zh-CN"/>
        </w:rPr>
        <w:t>审核。审核小组成员由长护管理、养老服务、医疗保障、医药卫生、财务管理、信息技术等相关领域的专业人员构成，审核小组成员人数不少于5人且为单数。自受理申请材料起，审核时间不超过3个月，长护服务机构补充材料时间不计入审核期限。</w:t>
      </w:r>
    </w:p>
    <w:p w14:paraId="7C21AE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trike w:val="0"/>
          <w:highlight w:val="none"/>
          <w:lang w:val="en-US" w:eastAsia="zh-CN"/>
        </w:rPr>
      </w:pPr>
      <w:r>
        <w:rPr>
          <w:rFonts w:hint="eastAsia" w:ascii="仿宋_GB2312" w:hAnsi="仿宋_GB2312" w:eastAsia="仿宋_GB2312" w:cs="仿宋_GB2312"/>
          <w:highlight w:val="none"/>
        </w:rPr>
        <w:t>（三）审定</w:t>
      </w:r>
      <w:r>
        <w:rPr>
          <w:rFonts w:hint="eastAsia" w:ascii="仿宋_GB2312" w:hAnsi="仿宋_GB2312" w:eastAsia="仿宋_GB2312" w:cs="仿宋_GB2312"/>
          <w:highlight w:val="none"/>
          <w:lang w:val="en-US" w:eastAsia="zh-CN"/>
        </w:rPr>
        <w:t>结果</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将评估结果</w:t>
      </w:r>
      <w:r>
        <w:rPr>
          <w:rFonts w:hint="eastAsia" w:ascii="仿宋_GB2312" w:hAnsi="仿宋_GB2312" w:eastAsia="仿宋_GB2312" w:cs="仿宋_GB2312"/>
          <w:highlight w:val="none"/>
          <w:lang w:val="en-US" w:eastAsia="zh-CN"/>
        </w:rPr>
        <w:t>分别向同级</w:t>
      </w:r>
      <w:r>
        <w:rPr>
          <w:rFonts w:hint="eastAsia" w:ascii="仿宋_GB2312" w:hAnsi="仿宋_GB2312" w:eastAsia="仿宋_GB2312" w:cs="仿宋_GB2312"/>
          <w:highlight w:val="none"/>
        </w:rPr>
        <w:t>医疗保障行政部门</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市医疗保障经办机构备案。医疗保障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应将</w:t>
      </w:r>
      <w:r>
        <w:rPr>
          <w:rFonts w:hint="eastAsia" w:ascii="仿宋_GB2312" w:hAnsi="仿宋_GB2312" w:eastAsia="仿宋_GB2312" w:cs="仿宋_GB2312"/>
          <w:strike w:val="0"/>
          <w:dstrike w:val="0"/>
          <w:highlight w:val="none"/>
          <w:lang w:val="en-US" w:eastAsia="zh-CN"/>
        </w:rPr>
        <w:t>审核通过的申请机构纳入拟签订协议评估机构名单，并向社会公示；审核未通过的，应告知其理由。</w:t>
      </w:r>
    </w:p>
    <w:p w14:paraId="10D0BF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（四）社会公示</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对拟定的定点评估机构名单，在赣州市医疗保障局网站或“赣州医保”微信公众号等平台公示，公示期为5个工作日。</w:t>
      </w:r>
    </w:p>
    <w:p w14:paraId="4C379C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（五）协议签订</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公示期满无异议的，所在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与定点评估机构签订协议</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并向同级</w:t>
      </w:r>
      <w:r>
        <w:rPr>
          <w:rFonts w:hint="eastAsia" w:ascii="仿宋_GB2312" w:hAnsi="仿宋_GB2312" w:eastAsia="仿宋_GB2312" w:cs="仿宋_GB2312"/>
          <w:highlight w:val="none"/>
        </w:rPr>
        <w:t>医疗保障行政部门</w:t>
      </w:r>
      <w:r>
        <w:rPr>
          <w:rFonts w:hint="eastAsia" w:ascii="仿宋_GB2312" w:hAnsi="仿宋_GB2312" w:eastAsia="仿宋_GB2312" w:cs="仿宋_GB2312"/>
          <w:highlight w:val="none"/>
          <w:lang w:val="en-US" w:eastAsia="zh-CN"/>
        </w:rPr>
        <w:t>备案</w:t>
      </w:r>
      <w:r>
        <w:rPr>
          <w:rFonts w:hint="eastAsia" w:ascii="仿宋_GB2312" w:hAnsi="仿宋_GB2312" w:eastAsia="仿宋_GB2312" w:cs="仿宋_GB2312"/>
          <w:highlight w:val="none"/>
        </w:rPr>
        <w:t>。逾期未签订协议的，视为自动放弃。对公示有异议的，</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应组织核查并作出处理。</w:t>
      </w:r>
    </w:p>
    <w:p w14:paraId="261971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第十条 </w:t>
      </w:r>
      <w:r>
        <w:rPr>
          <w:rFonts w:hint="eastAsia" w:ascii="仿宋_GB2312" w:hAnsi="仿宋_GB2312" w:eastAsia="仿宋_GB2312" w:cs="仿宋_GB2312"/>
          <w:highlight w:val="none"/>
        </w:rPr>
        <w:t>协议管理</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协议由市</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统一制定，协议期一般为1年。</w:t>
      </w:r>
      <w:r>
        <w:rPr>
          <w:rFonts w:hint="eastAsia" w:ascii="仿宋_GB2312" w:hAnsi="仿宋_GB2312" w:eastAsia="仿宋_GB2312" w:cs="仿宋_GB2312"/>
          <w:highlight w:val="none"/>
          <w:lang w:val="en-US" w:eastAsia="zh-CN"/>
        </w:rPr>
        <w:t>协议中应明确定点评估机构退出规则，并明确</w:t>
      </w:r>
      <w:r>
        <w:rPr>
          <w:rFonts w:hint="eastAsia" w:ascii="仿宋_GB2312" w:hAnsi="仿宋_GB2312" w:eastAsia="仿宋_GB2312" w:cs="仿宋_GB2312"/>
          <w:highlight w:val="none"/>
        </w:rPr>
        <w:t>双方权利义务、评估服务要求、费用结算、违约责任、协议中止</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协议</w:t>
      </w:r>
      <w:r>
        <w:rPr>
          <w:rFonts w:hint="eastAsia" w:ascii="仿宋_GB2312" w:hAnsi="仿宋_GB2312" w:eastAsia="仿宋_GB2312" w:cs="仿宋_GB2312"/>
          <w:highlight w:val="none"/>
        </w:rPr>
        <w:t>解除、争议处理等</w:t>
      </w:r>
      <w:r>
        <w:rPr>
          <w:rFonts w:hint="eastAsia" w:ascii="仿宋_GB2312" w:hAnsi="仿宋_GB2312" w:eastAsia="仿宋_GB2312" w:cs="仿宋_GB2312"/>
          <w:highlight w:val="none"/>
          <w:lang w:val="en-US" w:eastAsia="zh-CN"/>
        </w:rPr>
        <w:t>适用情形和具体处理程序要求等</w:t>
      </w:r>
      <w:r>
        <w:rPr>
          <w:rFonts w:hint="eastAsia" w:ascii="仿宋_GB2312" w:hAnsi="仿宋_GB2312" w:eastAsia="仿宋_GB2312" w:cs="仿宋_GB2312"/>
          <w:highlight w:val="none"/>
        </w:rPr>
        <w:t>。协议续签需由定点评估机构提前3个月提出申请，</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结合协议履行</w:t>
      </w:r>
      <w:r>
        <w:rPr>
          <w:rFonts w:hint="eastAsia" w:ascii="仿宋_GB2312" w:hAnsi="仿宋_GB2312" w:eastAsia="仿宋_GB2312" w:cs="仿宋_GB2312"/>
          <w:color w:val="auto"/>
          <w:highlight w:val="none"/>
        </w:rPr>
        <w:t>和</w:t>
      </w:r>
      <w:r>
        <w:rPr>
          <w:rFonts w:hint="eastAsia" w:ascii="仿宋_GB2312" w:hAnsi="仿宋_GB2312" w:eastAsia="仿宋_GB2312" w:cs="仿宋_GB2312"/>
          <w:highlight w:val="none"/>
        </w:rPr>
        <w:t>考核</w:t>
      </w:r>
      <w:r>
        <w:rPr>
          <w:rFonts w:hint="eastAsia" w:ascii="仿宋_GB2312" w:hAnsi="仿宋_GB2312" w:eastAsia="仿宋_GB2312" w:cs="仿宋_GB2312"/>
          <w:highlight w:val="none"/>
          <w:lang w:val="en-US" w:eastAsia="zh-CN"/>
        </w:rPr>
        <w:t>评价</w:t>
      </w:r>
      <w:r>
        <w:rPr>
          <w:rFonts w:hint="eastAsia" w:ascii="仿宋_GB2312" w:hAnsi="仿宋_GB2312" w:eastAsia="仿宋_GB2312" w:cs="仿宋_GB2312"/>
          <w:highlight w:val="none"/>
        </w:rPr>
        <w:t>情况决定。</w:t>
      </w:r>
    </w:p>
    <w:p w14:paraId="6027398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第十一条 </w:t>
      </w:r>
      <w:r>
        <w:rPr>
          <w:rFonts w:hint="eastAsia" w:ascii="仿宋_GB2312" w:hAnsi="仿宋_GB2312" w:eastAsia="仿宋_GB2312" w:cs="仿宋_GB2312"/>
          <w:highlight w:val="none"/>
        </w:rPr>
        <w:t>信息公布</w:t>
      </w:r>
      <w:r>
        <w:rPr>
          <w:rFonts w:hint="eastAsia" w:ascii="仿宋_GB2312" w:hAnsi="仿宋_GB2312" w:eastAsia="仿宋_GB2312" w:cs="仿宋_GB2312"/>
          <w:highlight w:val="none"/>
          <w:lang w:eastAsia="zh-CN"/>
        </w:rPr>
        <w:t>。</w:t>
      </w:r>
      <w:r>
        <w:rPr>
          <w:rFonts w:hint="eastAsia" w:ascii="仿宋_GB2312" w:hAnsi="仿宋_GB2312" w:cs="仿宋_GB2312"/>
          <w:highlight w:val="none"/>
          <w:lang w:val="en-US" w:eastAsia="zh-CN"/>
        </w:rPr>
        <w:t>市</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应及时向社会公布新签订及续签的定点评估机构名单，包括机构名称、地址、联系方式等信息，便于参保人选择和社会监督。</w:t>
      </w:r>
    </w:p>
    <w:p w14:paraId="5A46058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p>
    <w:p w14:paraId="05C58EF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r>
        <w:rPr>
          <w:rFonts w:hint="eastAsia" w:ascii="国标黑体" w:hAnsi="国标黑体" w:eastAsia="国标黑体" w:cs="国标黑体"/>
          <w:highlight w:val="none"/>
        </w:rPr>
        <w:t>第三章 运行管理</w:t>
      </w:r>
    </w:p>
    <w:p w14:paraId="1029D6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第十二条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rPr>
        <w:t>应当遵守长期护理保险有关政策规定，按照协议要求，加强内部建设，组织评估人员公平公正有序开展失能等级评估工作，确保评估过程和结果的公平、公正、客观、准确。</w:t>
      </w:r>
    </w:p>
    <w:p w14:paraId="65F91D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第十三条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rPr>
        <w:t>应当建立人员管理和培训制度</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实行评估人员实名制管理，建立人员培训和考核档案。定期组织开展政策法规、职业道德和评估技能培训及考核，确保评估人员熟悉长期护理保险相关政策法规</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熟练掌握评估专业技能</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评估人员发生变动的，应及时向</w:t>
      </w:r>
      <w:r>
        <w:rPr>
          <w:rFonts w:hint="eastAsia" w:ascii="仿宋_GB2312" w:hAnsi="仿宋_GB2312" w:eastAsia="仿宋_GB2312" w:cs="仿宋_GB2312"/>
          <w:highlight w:val="none"/>
          <w:lang w:val="en-US" w:eastAsia="zh-CN"/>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备案。</w:t>
      </w:r>
    </w:p>
    <w:p w14:paraId="0B7B0B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第十四条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rPr>
        <w:t>应建立覆盖评估全流程的内控体系，包括评估申请审核、现场评估、结论出具、档案管理等</w:t>
      </w:r>
      <w:r>
        <w:rPr>
          <w:rFonts w:hint="eastAsia" w:ascii="仿宋_GB2312" w:hAnsi="仿宋_GB2312" w:eastAsia="仿宋_GB2312" w:cs="仿宋_GB2312"/>
          <w:highlight w:val="none"/>
          <w:lang w:val="en-US" w:eastAsia="zh-CN"/>
        </w:rPr>
        <w:t>全流程</w:t>
      </w:r>
      <w:r>
        <w:rPr>
          <w:rFonts w:hint="eastAsia" w:ascii="仿宋_GB2312" w:hAnsi="仿宋_GB2312" w:eastAsia="仿宋_GB2312" w:cs="仿宋_GB2312"/>
          <w:highlight w:val="none"/>
        </w:rPr>
        <w:t>环节，形成部门之间、岗位之间和业务之间相互制衡、相互监督的内控机制，强化质量控制，确保评估质量。</w:t>
      </w:r>
    </w:p>
    <w:p w14:paraId="104B2E9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highlight w:val="none"/>
        </w:rPr>
      </w:pPr>
      <w:r>
        <w:rPr>
          <w:rFonts w:hint="eastAsia" w:ascii="仿宋_GB2312" w:hAnsi="仿宋_GB2312" w:eastAsia="仿宋_GB2312" w:cs="仿宋_GB2312"/>
          <w:b/>
          <w:bCs/>
          <w:highlight w:val="none"/>
        </w:rPr>
        <w:t xml:space="preserve">第十五条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lang w:eastAsia="zh-CN"/>
        </w:rPr>
        <w:t>应当</w:t>
      </w:r>
      <w:r>
        <w:rPr>
          <w:rFonts w:hint="eastAsia" w:ascii="仿宋_GB2312" w:hAnsi="仿宋_GB2312" w:eastAsia="仿宋_GB2312" w:cs="仿宋_GB2312"/>
          <w:highlight w:val="none"/>
        </w:rPr>
        <w:t>建立完善的评估档案管理制度。评估档</w:t>
      </w:r>
      <w:r>
        <w:rPr>
          <w:rFonts w:hint="eastAsia" w:ascii="仿宋_GB2312" w:hAnsi="仿宋_GB2312" w:eastAsia="仿宋_GB2312" w:cs="仿宋_GB2312"/>
          <w:b w:val="0"/>
          <w:bCs w:val="0"/>
          <w:highlight w:val="none"/>
        </w:rPr>
        <w:t>案包括失能等级评估申请材料、评估过程相关记录、评估结论书、内部管理控制相关记录等内容，应妥善留存归档。评估完成</w:t>
      </w:r>
      <w:r>
        <w:rPr>
          <w:rFonts w:hint="eastAsia" w:ascii="仿宋_GB2312" w:hAnsi="仿宋_GB2312" w:eastAsia="仿宋_GB2312" w:cs="仿宋_GB2312"/>
          <w:b w:val="0"/>
          <w:bCs w:val="0"/>
          <w:highlight w:val="none"/>
          <w:lang w:val="en-US" w:eastAsia="zh-CN"/>
        </w:rPr>
        <w:t>后，</w:t>
      </w:r>
      <w:r>
        <w:rPr>
          <w:rFonts w:hint="eastAsia" w:ascii="仿宋_GB2312" w:hAnsi="仿宋_GB2312" w:eastAsia="仿宋_GB2312" w:cs="仿宋_GB2312"/>
          <w:b w:val="0"/>
          <w:bCs w:val="0"/>
          <w:highlight w:val="none"/>
        </w:rPr>
        <w:t>每项原始档案按要求移交</w:t>
      </w:r>
      <w:r>
        <w:rPr>
          <w:rFonts w:hint="eastAsia" w:ascii="仿宋_GB2312" w:hAnsi="仿宋_GB2312" w:cs="仿宋_GB2312"/>
          <w:b w:val="0"/>
          <w:bCs w:val="0"/>
          <w:highlight w:val="none"/>
          <w:lang w:eastAsia="zh-CN"/>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b w:val="0"/>
          <w:bCs w:val="0"/>
          <w:highlight w:val="none"/>
        </w:rPr>
        <w:t>医疗保障经办机构。协议期限届满或协议终止前，应及时将档案完整移交至</w:t>
      </w:r>
      <w:r>
        <w:rPr>
          <w:rFonts w:hint="eastAsia" w:ascii="仿宋_GB2312" w:hAnsi="仿宋_GB2312" w:cs="仿宋_GB2312"/>
          <w:b w:val="0"/>
          <w:bCs w:val="0"/>
          <w:highlight w:val="none"/>
          <w:lang w:eastAsia="zh-CN"/>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b w:val="0"/>
          <w:bCs w:val="0"/>
          <w:highlight w:val="none"/>
        </w:rPr>
        <w:t>医疗保障经办机构。鼓励定点评估机构同步建立电子档案管理系统。</w:t>
      </w:r>
    </w:p>
    <w:p w14:paraId="7965DD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第十六条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rPr>
        <w:t>应建立健全财务管理制度，规范财务核算，按协议约定与</w:t>
      </w:r>
      <w:r>
        <w:rPr>
          <w:rFonts w:hint="eastAsia" w:ascii="仿宋_GB2312" w:hAnsi="仿宋_GB2312" w:eastAsia="仿宋_GB2312" w:cs="仿宋_GB2312"/>
          <w:highlight w:val="none"/>
          <w:lang w:val="en-US" w:eastAsia="zh-CN"/>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进行费用对账和结算。</w:t>
      </w:r>
    </w:p>
    <w:p w14:paraId="51F2424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 xml:space="preserve">第十七条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rPr>
        <w:t>应建立信息安全管理制度，明确信息安全管理责任，控制相关信息使用范围，防止信息外泄和滥用，确保信息安全</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严格保护参保人隐私。未经参保人本人同意或</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书面许可，不得向任何机构或个人泄露参保人员评估相关</w:t>
      </w:r>
      <w:r>
        <w:rPr>
          <w:rFonts w:hint="eastAsia" w:ascii="仿宋_GB2312" w:hAnsi="仿宋_GB2312" w:eastAsia="仿宋_GB2312" w:cs="仿宋_GB2312"/>
          <w:highlight w:val="none"/>
          <w:lang w:val="en-US" w:eastAsia="zh-CN"/>
        </w:rPr>
        <w:t>的</w:t>
      </w:r>
      <w:r>
        <w:rPr>
          <w:rFonts w:hint="eastAsia" w:ascii="仿宋_GB2312" w:hAnsi="仿宋_GB2312" w:eastAsia="仿宋_GB2312" w:cs="仿宋_GB2312"/>
          <w:highlight w:val="none"/>
        </w:rPr>
        <w:t>隐私信息（法律法规另有规定的除外）。</w:t>
      </w:r>
    </w:p>
    <w:p w14:paraId="064E17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 xml:space="preserve">第十八条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lang w:val="en-US" w:eastAsia="zh-CN"/>
        </w:rPr>
        <w:t>应当</w:t>
      </w:r>
      <w:r>
        <w:rPr>
          <w:rFonts w:hint="eastAsia" w:ascii="仿宋_GB2312" w:hAnsi="仿宋_GB2312" w:eastAsia="仿宋_GB2312" w:cs="仿宋_GB2312"/>
          <w:highlight w:val="none"/>
        </w:rPr>
        <w:t>配合医疗保障部门及</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的日常检查、评估结论抽审、考核</w:t>
      </w:r>
      <w:r>
        <w:rPr>
          <w:rFonts w:hint="eastAsia" w:ascii="仿宋_GB2312" w:hAnsi="仿宋_GB2312" w:eastAsia="仿宋_GB2312" w:cs="仿宋_GB2312"/>
          <w:highlight w:val="none"/>
          <w:lang w:val="en-US" w:eastAsia="zh-CN"/>
        </w:rPr>
        <w:t>评价</w:t>
      </w:r>
      <w:r>
        <w:rPr>
          <w:rFonts w:hint="eastAsia" w:ascii="仿宋_GB2312" w:hAnsi="仿宋_GB2312" w:eastAsia="仿宋_GB2312" w:cs="仿宋_GB2312"/>
          <w:highlight w:val="none"/>
        </w:rPr>
        <w:t>等工作，并按要求如实、及时提供相关资料。</w:t>
      </w:r>
    </w:p>
    <w:p w14:paraId="09ACB21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lang w:eastAsia="zh-CN"/>
        </w:rPr>
        <w:t>第</w:t>
      </w:r>
      <w:r>
        <w:rPr>
          <w:rFonts w:hint="eastAsia" w:ascii="仿宋_GB2312" w:hAnsi="仿宋_GB2312" w:eastAsia="仿宋_GB2312" w:cs="仿宋_GB2312"/>
          <w:b/>
          <w:bCs/>
          <w:highlight w:val="none"/>
          <w:lang w:val="en-US" w:eastAsia="zh-CN"/>
        </w:rPr>
        <w:t>十九</w:t>
      </w:r>
      <w:r>
        <w:rPr>
          <w:rFonts w:hint="eastAsia" w:ascii="仿宋_GB2312" w:hAnsi="仿宋_GB2312" w:eastAsia="仿宋_GB2312" w:cs="仿宋_GB2312"/>
          <w:b/>
          <w:bCs/>
          <w:highlight w:val="none"/>
          <w:lang w:eastAsia="zh-CN"/>
        </w:rPr>
        <w:t xml:space="preserve">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lang w:eastAsia="zh-CN"/>
        </w:rPr>
        <w:t>应使用全国统一的医保信息平台长期护理保险失能等级评估相关功能模块和长期护理保险信息业务编码，做好定点评估机构和评估人员编码信息动态维护工作，确保评估工作规范化、标准化。</w:t>
      </w:r>
    </w:p>
    <w:p w14:paraId="10CB87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lang w:eastAsia="zh-CN"/>
        </w:rPr>
        <w:t xml:space="preserve">第二十条 </w:t>
      </w:r>
      <w:r>
        <w:rPr>
          <w:rFonts w:hint="eastAsia" w:ascii="仿宋_GB2312" w:hAnsi="仿宋_GB2312" w:eastAsia="仿宋_GB2312" w:cs="仿宋_GB2312"/>
          <w:b w:val="0"/>
          <w:bCs w:val="0"/>
          <w:highlight w:val="none"/>
          <w:lang w:val="en-US" w:eastAsia="zh-CN"/>
        </w:rPr>
        <w:t>定点评估机构</w:t>
      </w:r>
      <w:r>
        <w:rPr>
          <w:rFonts w:hint="eastAsia" w:ascii="仿宋_GB2312" w:hAnsi="仿宋_GB2312" w:eastAsia="仿宋_GB2312" w:cs="仿宋_GB2312"/>
          <w:highlight w:val="none"/>
          <w:lang w:eastAsia="zh-CN"/>
        </w:rPr>
        <w:t>应当自觉加强行业自律，遵守国家和地方政府有关的法律法规、标准和规范。定点评估机构应当配合医保经办机构开展评估费用审核、服务质量检查、考核</w:t>
      </w:r>
      <w:r>
        <w:rPr>
          <w:rFonts w:hint="eastAsia" w:ascii="仿宋_GB2312" w:hAnsi="仿宋_GB2312" w:eastAsia="仿宋_GB2312" w:cs="仿宋_GB2312"/>
          <w:highlight w:val="none"/>
          <w:lang w:val="en-US" w:eastAsia="zh-CN"/>
        </w:rPr>
        <w:t>评价</w:t>
      </w:r>
      <w:r>
        <w:rPr>
          <w:rFonts w:hint="eastAsia" w:ascii="仿宋_GB2312" w:hAnsi="仿宋_GB2312" w:eastAsia="仿宋_GB2312" w:cs="仿宋_GB2312"/>
          <w:highlight w:val="none"/>
          <w:lang w:eastAsia="zh-CN"/>
        </w:rPr>
        <w:t>等工作，及时按要求提供相关信息。</w:t>
      </w:r>
    </w:p>
    <w:p w14:paraId="6FEA5AB7">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lang w:val="en-US" w:eastAsia="zh-CN"/>
        </w:rPr>
        <w:t>第二十一条</w:t>
      </w:r>
      <w:r>
        <w:rPr>
          <w:rFonts w:hint="eastAsia" w:ascii="仿宋_GB2312" w:hAnsi="仿宋_GB2312" w:eastAsia="仿宋_GB2312" w:cs="仿宋_GB2312"/>
          <w:highlight w:val="none"/>
          <w:lang w:val="en-US" w:eastAsia="zh-CN"/>
        </w:rPr>
        <w:t xml:space="preserve">  </w:t>
      </w:r>
      <w:r>
        <w:rPr>
          <w:rFonts w:hint="eastAsia" w:ascii="仿宋_GB2312" w:hAnsi="仿宋_GB2312" w:eastAsia="仿宋_GB2312" w:cs="仿宋_GB2312"/>
          <w:sz w:val="32"/>
          <w:szCs w:val="32"/>
          <w:highlight w:val="none"/>
          <w:lang w:val="en-US" w:eastAsia="zh-CN"/>
        </w:rPr>
        <w:t>定点评估机构取得评估资质后，可在本市</w:t>
      </w:r>
      <w:r>
        <w:rPr>
          <w:rFonts w:hint="eastAsia" w:ascii="仿宋_GB2312" w:hAnsi="仿宋_GB2312" w:cs="仿宋_GB2312"/>
          <w:sz w:val="32"/>
          <w:szCs w:val="32"/>
          <w:highlight w:val="none"/>
          <w:lang w:val="en-US" w:eastAsia="zh-CN"/>
        </w:rPr>
        <w:t>辖区内</w:t>
      </w:r>
      <w:r>
        <w:rPr>
          <w:rFonts w:hint="eastAsia" w:ascii="仿宋_GB2312" w:hAnsi="仿宋_GB2312" w:eastAsia="仿宋_GB2312" w:cs="仿宋_GB2312"/>
          <w:sz w:val="32"/>
          <w:szCs w:val="32"/>
          <w:highlight w:val="none"/>
          <w:lang w:val="en-US" w:eastAsia="zh-CN"/>
        </w:rPr>
        <w:t>开展失能等级评估工作。</w:t>
      </w:r>
    </w:p>
    <w:p w14:paraId="55462B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p>
    <w:p w14:paraId="4707D35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r>
        <w:rPr>
          <w:rFonts w:hint="eastAsia" w:ascii="国标黑体" w:hAnsi="国标黑体" w:eastAsia="国标黑体" w:cs="国标黑体"/>
          <w:highlight w:val="none"/>
        </w:rPr>
        <w:t>第四章 协议管理</w:t>
      </w:r>
    </w:p>
    <w:p w14:paraId="03FBE90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w:t>
      </w:r>
      <w:r>
        <w:rPr>
          <w:rFonts w:hint="eastAsia" w:ascii="仿宋_GB2312" w:hAnsi="仿宋_GB2312" w:eastAsia="仿宋_GB2312" w:cs="仿宋_GB2312"/>
          <w:b/>
          <w:bCs/>
          <w:highlight w:val="none"/>
          <w:lang w:val="en-US" w:eastAsia="zh-CN"/>
        </w:rPr>
        <w:t>二十二</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rPr>
        <w:t>定点评估机构有下列情形之一的，</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应</w:t>
      </w:r>
      <w:r>
        <w:rPr>
          <w:rFonts w:hint="eastAsia" w:ascii="仿宋_GB2312" w:hAnsi="仿宋_GB2312" w:eastAsia="仿宋_GB2312" w:cs="仿宋_GB2312"/>
          <w:highlight w:val="none"/>
        </w:rPr>
        <w:t>中止协议</w:t>
      </w:r>
      <w:r>
        <w:rPr>
          <w:rFonts w:hint="eastAsia" w:ascii="仿宋_GB2312" w:hAnsi="仿宋_GB2312" w:eastAsia="仿宋_GB2312" w:cs="仿宋_GB2312"/>
          <w:highlight w:val="none"/>
          <w:lang w:eastAsia="zh-CN"/>
        </w:rPr>
        <w:t>：</w:t>
      </w:r>
    </w:p>
    <w:p w14:paraId="04E8B9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（一）评估质量检查不合格，责令限期整改不到位的。</w:t>
      </w:r>
    </w:p>
    <w:p w14:paraId="53592A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（二）评估人员不足或关键人员变动，导致评估能力暂时无法满足协议要求的。</w:t>
      </w:r>
    </w:p>
    <w:p w14:paraId="48A30E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（三）未按规定及时、完整移交评估档案的。</w:t>
      </w:r>
    </w:p>
    <w:p w14:paraId="63BF3D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（四）其他违反协议约定，情节较轻，尚不足以解除协议的情形。</w:t>
      </w:r>
    </w:p>
    <w:p w14:paraId="6F891A8C">
      <w:pPr>
        <w:keepNext w:val="0"/>
        <w:keepLines w:val="0"/>
        <w:pageBreakBefore w:val="0"/>
        <w:widowControl w:val="0"/>
        <w:tabs>
          <w:tab w:val="left" w:pos="864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中止期间，暂停评估业务及费用结算。</w:t>
      </w:r>
      <w:r>
        <w:rPr>
          <w:rFonts w:hint="eastAsia" w:ascii="仿宋_GB2312" w:hAnsi="仿宋_GB2312" w:eastAsia="仿宋_GB2312" w:cs="仿宋_GB2312"/>
          <w:highlight w:val="none"/>
          <w:lang w:val="en-US" w:eastAsia="zh-CN"/>
        </w:rPr>
        <w:t>中止时间原则上不得超过180天，</w:t>
      </w:r>
      <w:r>
        <w:rPr>
          <w:rFonts w:hint="eastAsia" w:ascii="仿宋_GB2312" w:hAnsi="仿宋_GB2312" w:eastAsia="仿宋_GB2312" w:cs="仿宋_GB2312"/>
          <w:highlight w:val="none"/>
        </w:rPr>
        <w:t>定点评估机构</w:t>
      </w:r>
      <w:r>
        <w:rPr>
          <w:rFonts w:hint="eastAsia" w:ascii="仿宋_GB2312" w:hAnsi="仿宋_GB2312" w:eastAsia="仿宋_GB2312" w:cs="仿宋_GB2312"/>
          <w:highlight w:val="none"/>
          <w:lang w:val="en-US" w:eastAsia="zh-CN"/>
        </w:rPr>
        <w:t>在协议中止超过180天仍未提出继续履行协议申请的，协议自动终止。</w:t>
      </w:r>
    </w:p>
    <w:p w14:paraId="018474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三</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rPr>
        <w:t>定点评估机构有下列情形之一的，协议自动终止：</w:t>
      </w:r>
    </w:p>
    <w:p w14:paraId="6FB738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（一）定点评估机构注册地址跨市发生变化的。</w:t>
      </w:r>
    </w:p>
    <w:p w14:paraId="6DBFF9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（二）定点评估机构登记证书、执业许可证照被主管部门注销、吊销或失效的。</w:t>
      </w:r>
    </w:p>
    <w:p w14:paraId="5D5DA1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（三）定点评估机构自愿申请终止协议，并经</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同意的。</w:t>
      </w:r>
    </w:p>
    <w:p w14:paraId="3051E9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lang w:eastAsia="zh-CN"/>
        </w:rPr>
        <w:t>因前述情形终止协议后，若需重新成为定点评估机构，应按照本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lang w:eastAsia="zh-CN"/>
        </w:rPr>
        <w:t>规定程序重新申请。</w:t>
      </w:r>
    </w:p>
    <w:p w14:paraId="38780A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四</w:t>
      </w:r>
      <w:r>
        <w:rPr>
          <w:rFonts w:hint="eastAsia" w:ascii="仿宋_GB2312" w:hAnsi="仿宋_GB2312" w:eastAsia="仿宋_GB2312" w:cs="仿宋_GB2312"/>
          <w:b/>
          <w:bCs/>
          <w:highlight w:val="none"/>
        </w:rPr>
        <w:t>条</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rPr>
        <w:t>定点评估机构有下列情形之一的，</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有权单方面解除协议，并向社会公布：</w:t>
      </w:r>
    </w:p>
    <w:p w14:paraId="6859AE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（一）以欺诈、伪造证明材料或其他手段骗取长护险评估费用的。</w:t>
      </w:r>
    </w:p>
    <w:p w14:paraId="161C0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（二）弄虚作假</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出具虚假评估结论，或授意、串通评估对象提供虚假材料，影响评估公正性的。</w:t>
      </w:r>
    </w:p>
    <w:p w14:paraId="57617A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（三）故意或重大过失泄露参保人隐私，造成严重后果的。</w:t>
      </w:r>
    </w:p>
    <w:p w14:paraId="4B20EB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（四）协议中止期满，经评估仍不符合协议要求的。</w:t>
      </w:r>
    </w:p>
    <w:p w14:paraId="3AB573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（五）评估人员同时在多家评估机构兼职，且未按协议要求整改的。</w:t>
      </w:r>
    </w:p>
    <w:p w14:paraId="71BD2C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（六）发生其他严重违反协议约定或法律法规的行为。</w:t>
      </w:r>
    </w:p>
    <w:p w14:paraId="2111FA8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五</w:t>
      </w:r>
      <w:r>
        <w:rPr>
          <w:rFonts w:hint="eastAsia" w:ascii="仿宋_GB2312" w:hAnsi="仿宋_GB2312" w:eastAsia="仿宋_GB2312" w:cs="仿宋_GB2312"/>
          <w:b/>
          <w:bCs/>
          <w:highlight w:val="none"/>
        </w:rPr>
        <w:t>条</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rPr>
        <w:t>定点评估机构的名称、法定代表人、主要负责人</w:t>
      </w:r>
      <w:r>
        <w:rPr>
          <w:rFonts w:hint="eastAsia" w:ascii="仿宋_GB2312" w:hAnsi="仿宋_GB2312" w:eastAsia="仿宋_GB2312" w:cs="仿宋_GB2312"/>
          <w:highlight w:val="none"/>
          <w:lang w:val="en-US" w:eastAsia="zh-CN"/>
        </w:rPr>
        <w:t>或实际控制人</w:t>
      </w:r>
      <w:r>
        <w:rPr>
          <w:rFonts w:hint="eastAsia" w:ascii="仿宋_GB2312" w:hAnsi="仿宋_GB2312" w:eastAsia="仿宋_GB2312" w:cs="仿宋_GB2312"/>
          <w:highlight w:val="none"/>
        </w:rPr>
        <w:t>、注册地址、银行账户</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经营范围、机构性质</w:t>
      </w:r>
      <w:r>
        <w:rPr>
          <w:rFonts w:hint="eastAsia" w:ascii="仿宋_GB2312" w:hAnsi="仿宋_GB2312" w:eastAsia="仿宋_GB2312" w:cs="仿宋_GB2312"/>
          <w:highlight w:val="none"/>
        </w:rPr>
        <w:t>等</w:t>
      </w:r>
      <w:r>
        <w:rPr>
          <w:rFonts w:hint="eastAsia" w:ascii="仿宋_GB2312" w:hAnsi="仿宋_GB2312" w:eastAsia="仿宋_GB2312" w:cs="仿宋_GB2312"/>
          <w:highlight w:val="none"/>
          <w:lang w:val="en-US" w:eastAsia="zh-CN"/>
        </w:rPr>
        <w:t>重大</w:t>
      </w:r>
      <w:r>
        <w:rPr>
          <w:rFonts w:hint="eastAsia" w:ascii="仿宋_GB2312" w:hAnsi="仿宋_GB2312" w:eastAsia="仿宋_GB2312" w:cs="仿宋_GB2312"/>
          <w:highlight w:val="none"/>
        </w:rPr>
        <w:t>信息发生变更时，应自</w:t>
      </w:r>
      <w:r>
        <w:rPr>
          <w:rFonts w:hint="eastAsia" w:ascii="仿宋_GB2312" w:hAnsi="仿宋_GB2312" w:eastAsia="仿宋_GB2312" w:cs="仿宋_GB2312"/>
          <w:highlight w:val="none"/>
          <w:lang w:val="en-US" w:eastAsia="zh-CN"/>
        </w:rPr>
        <w:t>有关部门批准</w:t>
      </w:r>
      <w:r>
        <w:rPr>
          <w:rFonts w:hint="eastAsia" w:ascii="仿宋_GB2312" w:hAnsi="仿宋_GB2312" w:eastAsia="仿宋_GB2312" w:cs="仿宋_GB2312"/>
          <w:highlight w:val="none"/>
        </w:rPr>
        <w:t>之日起30个工作日内向</w:t>
      </w:r>
      <w:r>
        <w:rPr>
          <w:rFonts w:hint="eastAsia" w:ascii="仿宋_GB2312" w:hAnsi="仿宋_GB2312" w:eastAsia="仿宋_GB2312" w:cs="仿宋_GB2312"/>
          <w:highlight w:val="none"/>
          <w:lang w:val="en-US" w:eastAsia="zh-CN"/>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提出变更申请。其他一般信息变更应及时书面告知。信息变更后，定点评估机构</w:t>
      </w:r>
      <w:r>
        <w:rPr>
          <w:rFonts w:hint="eastAsia" w:ascii="仿宋_GB2312" w:hAnsi="仿宋_GB2312" w:eastAsia="仿宋_GB2312" w:cs="仿宋_GB2312"/>
          <w:highlight w:val="none"/>
        </w:rPr>
        <w:t>不符合</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实施细则要求</w:t>
      </w:r>
      <w:r>
        <w:rPr>
          <w:rFonts w:hint="eastAsia" w:ascii="仿宋_GB2312" w:hAnsi="仿宋_GB2312" w:eastAsia="仿宋_GB2312" w:cs="仿宋_GB2312"/>
          <w:highlight w:val="none"/>
        </w:rPr>
        <w:t>的，应</w:t>
      </w:r>
      <w:r>
        <w:rPr>
          <w:rFonts w:hint="eastAsia" w:ascii="仿宋_GB2312" w:hAnsi="仿宋_GB2312" w:eastAsia="仿宋_GB2312" w:cs="仿宋_GB2312"/>
          <w:highlight w:val="none"/>
          <w:lang w:val="en-US" w:eastAsia="zh-CN"/>
        </w:rPr>
        <w:t>当</w:t>
      </w:r>
      <w:r>
        <w:rPr>
          <w:rFonts w:hint="eastAsia" w:ascii="仿宋_GB2312" w:hAnsi="仿宋_GB2312" w:eastAsia="仿宋_GB2312" w:cs="仿宋_GB2312"/>
          <w:highlight w:val="none"/>
        </w:rPr>
        <w:t>解除协议。</w:t>
      </w:r>
    </w:p>
    <w:p w14:paraId="0BC927F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rPr>
      </w:pPr>
    </w:p>
    <w:p w14:paraId="291FB2F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r>
        <w:rPr>
          <w:rFonts w:hint="eastAsia" w:ascii="国标黑体" w:hAnsi="国标黑体" w:eastAsia="国标黑体" w:cs="国标黑体"/>
          <w:highlight w:val="none"/>
        </w:rPr>
        <w:t>第五章 监督管理</w:t>
      </w:r>
    </w:p>
    <w:p w14:paraId="674269E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六</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rPr>
        <w:t>医疗保障行政部门</w:t>
      </w:r>
      <w:r>
        <w:rPr>
          <w:rFonts w:hint="eastAsia" w:ascii="仿宋_GB2312" w:hAnsi="仿宋_GB2312" w:eastAsia="仿宋_GB2312" w:cs="仿宋_GB2312"/>
          <w:highlight w:val="none"/>
          <w:lang w:val="en-US" w:eastAsia="zh-CN"/>
        </w:rPr>
        <w:t>通过实地检查、抽查、智能监控等方式，</w:t>
      </w:r>
      <w:r>
        <w:rPr>
          <w:rFonts w:hint="eastAsia" w:ascii="仿宋_GB2312" w:hAnsi="仿宋_GB2312" w:eastAsia="仿宋_GB2312" w:cs="仿宋_GB2312"/>
          <w:highlight w:val="none"/>
        </w:rPr>
        <w:t>对</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协议签订、履行、解除等情况和定点评估机构的服务行为进行监督。发现违约行为的，责令</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按协议处理；</w:t>
      </w:r>
      <w:r>
        <w:rPr>
          <w:rFonts w:hint="eastAsia" w:ascii="仿宋_GB2312" w:hAnsi="仿宋_GB2312" w:eastAsia="仿宋_GB2312" w:cs="仿宋_GB2312"/>
          <w:highlight w:val="none"/>
          <w:lang w:val="en-US" w:eastAsia="zh-CN"/>
        </w:rPr>
        <w:t>属于法律法规和规章规定范畴的，</w:t>
      </w:r>
      <w:r>
        <w:rPr>
          <w:rFonts w:hint="eastAsia" w:ascii="仿宋_GB2312" w:hAnsi="仿宋_GB2312" w:eastAsia="仿宋_GB2312" w:cs="仿宋_GB2312"/>
          <w:highlight w:val="none"/>
        </w:rPr>
        <w:t>依法</w:t>
      </w:r>
      <w:r>
        <w:rPr>
          <w:rFonts w:hint="eastAsia" w:ascii="仿宋_GB2312" w:hAnsi="仿宋_GB2312" w:eastAsia="仿宋_GB2312" w:cs="仿宋_GB2312"/>
          <w:highlight w:val="none"/>
          <w:lang w:val="en-US" w:eastAsia="zh-CN"/>
        </w:rPr>
        <w:t>给予</w:t>
      </w:r>
      <w:r>
        <w:rPr>
          <w:rFonts w:hint="eastAsia" w:ascii="仿宋_GB2312" w:hAnsi="仿宋_GB2312" w:eastAsia="仿宋_GB2312" w:cs="仿宋_GB2312"/>
          <w:highlight w:val="none"/>
        </w:rPr>
        <w:t>行政处罚。</w:t>
      </w:r>
      <w:r>
        <w:rPr>
          <w:rFonts w:hint="eastAsia" w:ascii="仿宋_GB2312" w:hAnsi="仿宋_GB2312" w:eastAsia="仿宋_GB2312" w:cs="仿宋_GB2312"/>
          <w:highlight w:val="none"/>
          <w:lang w:val="en-US" w:eastAsia="zh-CN"/>
        </w:rPr>
        <w:t>涉嫌违法犯罪的，依法移送司法机关处理。</w:t>
      </w:r>
    </w:p>
    <w:p w14:paraId="7B28F19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七</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rPr>
        <w:t>应加强对定点评估机构的履约管理。</w:t>
      </w:r>
      <w:r>
        <w:rPr>
          <w:rFonts w:hint="eastAsia" w:ascii="仿宋_GB2312" w:hAnsi="仿宋_GB2312" w:eastAsia="仿宋_GB2312" w:cs="仿宋_GB2312"/>
          <w:highlight w:val="none"/>
          <w:lang w:eastAsia="zh-CN"/>
        </w:rPr>
        <w:t>结合日常检查、质量管理、投诉举报等情况，综合利用信息技术等手段，</w:t>
      </w:r>
      <w:r>
        <w:rPr>
          <w:rFonts w:hint="eastAsia" w:ascii="仿宋_GB2312" w:hAnsi="仿宋_GB2312" w:eastAsia="仿宋_GB2312" w:cs="仿宋_GB2312"/>
          <w:highlight w:val="none"/>
        </w:rPr>
        <w:t>对评估程序规范性、结论准确性、档案完整性、投诉举报处理等情况进行稽核。稽核结果与费用结算、协议续签挂钩。</w:t>
      </w:r>
      <w:r>
        <w:rPr>
          <w:rFonts w:hint="eastAsia" w:ascii="仿宋_GB2312" w:hAnsi="仿宋_GB2312" w:eastAsia="仿宋_GB2312" w:cs="仿宋_GB2312"/>
          <w:highlight w:val="none"/>
          <w:lang w:eastAsia="zh-CN"/>
        </w:rPr>
        <w:t>发现违约行为的，应当按照协议及时作出处理。作出中止或解除协议等处理的，应向医疗保障行政部门报备。</w:t>
      </w:r>
    </w:p>
    <w:p w14:paraId="1D1C212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八</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color w:val="auto"/>
          <w:kern w:val="0"/>
          <w:sz w:val="32"/>
          <w:szCs w:val="32"/>
          <w:highlight w:val="none"/>
          <w:shd w:val="clear" w:color="auto" w:fill="FFFFFF"/>
          <w:lang w:val="en-US" w:eastAsia="zh-CN" w:bidi="ar"/>
        </w:rPr>
        <w:t>建立评估结论抽查机制，</w:t>
      </w:r>
      <w:r>
        <w:rPr>
          <w:rFonts w:hint="eastAsia" w:ascii="仿宋_GB2312" w:hAnsi="仿宋_GB2312" w:eastAsia="仿宋_GB2312" w:cs="仿宋_GB2312"/>
          <w:color w:val="auto"/>
          <w:sz w:val="32"/>
          <w:szCs w:val="32"/>
          <w:highlight w:val="none"/>
          <w:shd w:val="clear" w:color="auto" w:fill="FFFFFF"/>
          <w:lang w:val="en-US" w:eastAsia="zh-CN"/>
        </w:rPr>
        <w:t>对享受长护险待遇的参保人员进行调查回访及监督稽核、</w:t>
      </w:r>
      <w:r>
        <w:rPr>
          <w:rFonts w:hint="eastAsia" w:ascii="仿宋_GB2312" w:hAnsi="仿宋_GB2312" w:eastAsia="仿宋_GB2312" w:cs="仿宋_GB2312"/>
          <w:color w:val="auto"/>
          <w:kern w:val="0"/>
          <w:sz w:val="32"/>
          <w:szCs w:val="32"/>
          <w:highlight w:val="none"/>
          <w:shd w:val="clear" w:color="auto" w:fill="FFFFFF"/>
          <w:lang w:val="en-US" w:eastAsia="zh-CN" w:bidi="ar"/>
        </w:rPr>
        <w:t>抽查复核。对抽查发现问题的，按协议约定处理，并责令整改。</w:t>
      </w:r>
    </w:p>
    <w:p w14:paraId="4ED4BB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rPr>
        <w:t>第二十</w:t>
      </w:r>
      <w:r>
        <w:rPr>
          <w:rFonts w:hint="eastAsia" w:ascii="仿宋_GB2312" w:hAnsi="仿宋_GB2312" w:eastAsia="仿宋_GB2312" w:cs="仿宋_GB2312"/>
          <w:b/>
          <w:bCs/>
          <w:highlight w:val="none"/>
          <w:lang w:val="en-US" w:eastAsia="zh-CN"/>
        </w:rPr>
        <w:t>九</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rPr>
        <w:t>建立健全社会监督机制。畅通投诉举报渠道，公开举报电话和邮箱。可聘请社会监督员，对定点评估机构的服务行为进行监督</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及时发现问题并进行处理。</w:t>
      </w:r>
    </w:p>
    <w:p w14:paraId="72FC98A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rPr>
      </w:pPr>
    </w:p>
    <w:p w14:paraId="4028809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国标黑体" w:hAnsi="国标黑体" w:eastAsia="国标黑体" w:cs="国标黑体"/>
          <w:highlight w:val="none"/>
        </w:rPr>
      </w:pPr>
      <w:r>
        <w:rPr>
          <w:rFonts w:hint="eastAsia" w:ascii="国标黑体" w:hAnsi="国标黑体" w:eastAsia="国标黑体" w:cs="国标黑体"/>
          <w:highlight w:val="none"/>
        </w:rPr>
        <w:t>第六章 附则</w:t>
      </w:r>
    </w:p>
    <w:p w14:paraId="372725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第</w:t>
      </w:r>
      <w:r>
        <w:rPr>
          <w:rFonts w:hint="eastAsia" w:ascii="仿宋_GB2312" w:hAnsi="仿宋_GB2312" w:eastAsia="仿宋_GB2312" w:cs="仿宋_GB2312"/>
          <w:b/>
          <w:bCs/>
          <w:highlight w:val="none"/>
          <w:lang w:val="en-US" w:eastAsia="zh-CN"/>
        </w:rPr>
        <w:t>三十</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lang w:eastAsia="zh-CN"/>
        </w:rPr>
        <w:t>鼓励现有的医疗机构（或其他评估机构）设立长护定点评估机构，根据服务需要，逐步按政府采购法招标采购第三方长护定点评估机构</w:t>
      </w:r>
      <w:r>
        <w:rPr>
          <w:rFonts w:hint="eastAsia" w:ascii="仿宋_GB2312" w:hAnsi="仿宋_GB2312" w:cs="仿宋_GB2312"/>
          <w:highlight w:val="none"/>
          <w:lang w:eastAsia="zh-CN"/>
        </w:rPr>
        <w:t>。</w:t>
      </w:r>
      <w:r>
        <w:rPr>
          <w:rFonts w:hint="eastAsia" w:ascii="仿宋_GB2312" w:hAnsi="仿宋_GB2312" w:eastAsia="仿宋_GB2312" w:cs="仿宋_GB2312"/>
          <w:highlight w:val="none"/>
        </w:rPr>
        <w:t>依托医疗机构、养老机构、劳动能力鉴定机构</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商业保险机构</w:t>
      </w:r>
      <w:r>
        <w:rPr>
          <w:rFonts w:hint="eastAsia" w:ascii="仿宋_GB2312" w:hAnsi="仿宋_GB2312" w:eastAsia="仿宋_GB2312" w:cs="仿宋_GB2312"/>
          <w:highlight w:val="none"/>
        </w:rPr>
        <w:t>等</w:t>
      </w:r>
      <w:r>
        <w:rPr>
          <w:rFonts w:hint="eastAsia" w:ascii="仿宋_GB2312" w:hAnsi="仿宋_GB2312" w:eastAsia="仿宋_GB2312" w:cs="仿宋_GB2312"/>
          <w:highlight w:val="none"/>
          <w:lang w:val="en-US" w:eastAsia="zh-CN"/>
        </w:rPr>
        <w:t>实施</w:t>
      </w:r>
      <w:r>
        <w:rPr>
          <w:rFonts w:hint="eastAsia" w:ascii="仿宋_GB2312" w:hAnsi="仿宋_GB2312" w:eastAsia="仿宋_GB2312" w:cs="仿宋_GB2312"/>
          <w:highlight w:val="none"/>
        </w:rPr>
        <w:t>评估的，对</w:t>
      </w:r>
      <w:r>
        <w:rPr>
          <w:rFonts w:hint="eastAsia" w:ascii="仿宋_GB2312" w:hAnsi="仿宋_GB2312" w:eastAsia="仿宋_GB2312" w:cs="仿宋_GB2312"/>
          <w:highlight w:val="none"/>
          <w:lang w:val="en-US" w:eastAsia="zh-CN"/>
        </w:rPr>
        <w:t>有关</w:t>
      </w:r>
      <w:r>
        <w:rPr>
          <w:rFonts w:hint="eastAsia" w:ascii="仿宋_GB2312" w:hAnsi="仿宋_GB2312" w:eastAsia="仿宋_GB2312" w:cs="仿宋_GB2312"/>
          <w:highlight w:val="none"/>
        </w:rPr>
        <w:t>机构的管理，参照</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执行。</w:t>
      </w:r>
    </w:p>
    <w:p w14:paraId="4D4A01A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eastAsia="仿宋_GB2312" w:cs="仿宋_GB2312"/>
          <w:b/>
          <w:bCs/>
          <w:highlight w:val="none"/>
        </w:rPr>
        <w:t>第</w:t>
      </w:r>
      <w:r>
        <w:rPr>
          <w:rFonts w:hint="eastAsia" w:ascii="仿宋_GB2312" w:hAnsi="仿宋_GB2312" w:eastAsia="仿宋_GB2312" w:cs="仿宋_GB2312"/>
          <w:b/>
          <w:bCs/>
          <w:highlight w:val="none"/>
          <w:lang w:val="en-US" w:eastAsia="zh-CN"/>
        </w:rPr>
        <w:t>三十一</w:t>
      </w:r>
      <w:r>
        <w:rPr>
          <w:rFonts w:hint="eastAsia" w:ascii="仿宋_GB2312" w:hAnsi="仿宋_GB2312" w:eastAsia="仿宋_GB2312" w:cs="仿宋_GB2312"/>
          <w:b/>
          <w:bCs/>
          <w:highlight w:val="none"/>
        </w:rPr>
        <w:t xml:space="preserve">条 </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实施细则由赣州市医疗保障局负责解释，</w:t>
      </w:r>
      <w:r>
        <w:rPr>
          <w:rFonts w:hint="eastAsia" w:ascii="仿宋_GB2312" w:hAnsi="仿宋_GB2312" w:eastAsia="仿宋_GB2312" w:cs="仿宋_GB2312"/>
          <w:highlight w:val="none"/>
        </w:rPr>
        <w:t>自2026年</w:t>
      </w:r>
      <w:r>
        <w:rPr>
          <w:rFonts w:hint="eastAsia" w:ascii="仿宋_GB2312" w:hAnsi="仿宋_GB2312" w:eastAsia="仿宋_GB2312" w:cs="仿宋_GB2312"/>
          <w:highlight w:val="none"/>
          <w:lang w:val="en-US" w:eastAsia="zh-CN"/>
        </w:rPr>
        <w:t>10</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1</w:t>
      </w:r>
      <w:r>
        <w:rPr>
          <w:rFonts w:hint="eastAsia" w:ascii="仿宋_GB2312" w:hAnsi="仿宋_GB2312" w:eastAsia="仿宋_GB2312" w:cs="仿宋_GB2312"/>
          <w:highlight w:val="none"/>
        </w:rPr>
        <w:t>日起施行，试行期</w:t>
      </w: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年。以往规定与</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不一致的，以</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为准。国家</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省</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市</w:t>
      </w:r>
      <w:r>
        <w:rPr>
          <w:rFonts w:hint="eastAsia" w:ascii="仿宋_GB2312" w:hAnsi="仿宋_GB2312" w:eastAsia="仿宋_GB2312" w:cs="仿宋_GB2312"/>
          <w:highlight w:val="none"/>
        </w:rPr>
        <w:t>有新规定的，从其规定。</w:t>
      </w:r>
    </w:p>
    <w:p w14:paraId="03269E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7081DB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附件：赣州市长期护理保险定点失能等级评估机构申请表</w:t>
      </w:r>
    </w:p>
    <w:p w14:paraId="36DB59DE">
      <w:pPr>
        <w:widowControl w:val="0"/>
        <w:pBdr>
          <w:top w:val="none" w:color="auto" w:sz="0" w:space="1"/>
          <w:left w:val="none" w:color="auto" w:sz="0" w:space="4"/>
          <w:bottom w:val="none" w:color="auto" w:sz="0" w:space="1"/>
          <w:right w:val="none" w:color="auto" w:sz="0" w:space="4"/>
          <w:between w:val="none" w:color="auto" w:sz="0" w:space="0"/>
        </w:pBdr>
        <w:jc w:val="both"/>
        <w:rPr>
          <w:rFonts w:hint="eastAsia" w:ascii="黑体" w:hAnsi="黑体" w:eastAsia="黑体" w:cs="黑体"/>
          <w:b w:val="0"/>
          <w:bCs/>
          <w:color w:val="auto"/>
          <w:sz w:val="36"/>
          <w:szCs w:val="36"/>
          <w:lang w:val="en-US" w:eastAsia="zh-CN"/>
        </w:rPr>
      </w:pPr>
      <w:r>
        <w:rPr>
          <w:rFonts w:hint="eastAsia" w:ascii="黑体" w:hAnsi="黑体" w:eastAsia="黑体" w:cs="黑体"/>
          <w:color w:val="auto"/>
          <w:sz w:val="32"/>
          <w:szCs w:val="32"/>
          <w:lang w:eastAsia="zh-CN"/>
        </w:rPr>
        <w:t>附件</w:t>
      </w:r>
    </w:p>
    <w:p w14:paraId="1C0987DB">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赣州市长期护理保险</w:t>
      </w:r>
    </w:p>
    <w:p w14:paraId="0E31C9A0">
      <w:pPr>
        <w:jc w:val="center"/>
        <w:rPr>
          <w:rFonts w:hint="eastAsia" w:ascii="宋体" w:hAnsi="宋体" w:eastAsia="方正小标宋简体" w:cs="方正小标宋简体"/>
          <w:b w:val="0"/>
          <w:bCs/>
          <w:color w:val="auto"/>
          <w:sz w:val="36"/>
          <w:szCs w:val="36"/>
          <w:lang w:val="en-US" w:eastAsia="zh-CN"/>
        </w:rPr>
      </w:pPr>
      <w:r>
        <w:rPr>
          <w:rFonts w:hint="eastAsia" w:eastAsia="方正小标宋简体" w:cs="方正小标宋简体"/>
          <w:b w:val="0"/>
          <w:bCs/>
          <w:color w:val="auto"/>
          <w:sz w:val="36"/>
          <w:szCs w:val="36"/>
          <w:lang w:val="en-US" w:eastAsia="zh-CN"/>
        </w:rPr>
        <w:t>定点</w:t>
      </w:r>
      <w:r>
        <w:rPr>
          <w:rFonts w:hint="eastAsia" w:ascii="宋体" w:hAnsi="宋体" w:eastAsia="方正小标宋简体" w:cs="方正小标宋简体"/>
          <w:b w:val="0"/>
          <w:bCs/>
          <w:color w:val="auto"/>
          <w:sz w:val="36"/>
          <w:szCs w:val="36"/>
          <w:lang w:val="en-US" w:eastAsia="zh-CN"/>
        </w:rPr>
        <w:t>失能等级评估机构申请表</w:t>
      </w:r>
    </w:p>
    <w:p w14:paraId="72086F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sz w:val="24"/>
          <w:szCs w:val="32"/>
          <w:lang w:val="en-US" w:eastAsia="zh-CN"/>
        </w:rPr>
      </w:pPr>
      <w:r>
        <w:rPr>
          <w:rFonts w:hint="eastAsia" w:ascii="宋体" w:hAnsi="宋体" w:eastAsiaTheme="minorEastAsia" w:cstheme="minorEastAsia"/>
          <w:spacing w:val="-13"/>
          <w:sz w:val="24"/>
          <w:szCs w:val="24"/>
          <w:lang w:val="en-US" w:eastAsia="zh-CN"/>
        </w:rPr>
        <w:t xml:space="preserve">申请单位名称（盖章）：           </w:t>
      </w:r>
      <w:r>
        <w:rPr>
          <w:rFonts w:hint="eastAsia" w:ascii="宋体" w:hAnsi="宋体" w:cs="宋体"/>
          <w:spacing w:val="-13"/>
          <w:sz w:val="24"/>
          <w:szCs w:val="24"/>
          <w:lang w:val="en-US" w:eastAsia="zh-CN"/>
        </w:rPr>
        <w:t xml:space="preserve">                  </w:t>
      </w:r>
      <w:r>
        <w:rPr>
          <w:rFonts w:hint="eastAsia" w:ascii="宋体" w:hAnsi="宋体" w:eastAsia="宋体" w:cs="宋体"/>
          <w:spacing w:val="-13"/>
          <w:sz w:val="24"/>
          <w:szCs w:val="24"/>
        </w:rPr>
        <w:t>申请时间：</w:t>
      </w:r>
      <w:r>
        <w:rPr>
          <w:rFonts w:hint="eastAsia" w:ascii="宋体" w:hAnsi="宋体" w:eastAsia="宋体" w:cs="宋体"/>
          <w:spacing w:val="74"/>
          <w:w w:val="101"/>
          <w:sz w:val="24"/>
          <w:szCs w:val="24"/>
        </w:rPr>
        <w:t xml:space="preserve"> </w:t>
      </w:r>
      <w:r>
        <w:rPr>
          <w:rFonts w:hint="eastAsia" w:ascii="宋体" w:hAnsi="宋体" w:eastAsia="宋体" w:cs="宋体"/>
          <w:spacing w:val="74"/>
          <w:w w:val="101"/>
          <w:sz w:val="24"/>
          <w:szCs w:val="24"/>
          <w:lang w:val="en-US" w:eastAsia="zh-CN"/>
        </w:rPr>
        <w:t xml:space="preserve"> </w:t>
      </w:r>
      <w:r>
        <w:rPr>
          <w:rFonts w:hint="eastAsia" w:ascii="宋体" w:hAnsi="宋体" w:eastAsia="宋体" w:cs="宋体"/>
          <w:spacing w:val="-13"/>
          <w:sz w:val="24"/>
          <w:szCs w:val="24"/>
        </w:rPr>
        <w:t>年</w:t>
      </w:r>
      <w:r>
        <w:rPr>
          <w:rFonts w:hint="eastAsia" w:ascii="宋体" w:hAnsi="宋体" w:eastAsia="宋体" w:cs="宋体"/>
          <w:spacing w:val="5"/>
          <w:sz w:val="24"/>
          <w:szCs w:val="24"/>
        </w:rPr>
        <w:t xml:space="preserve">    </w:t>
      </w:r>
      <w:r>
        <w:rPr>
          <w:rFonts w:hint="eastAsia" w:ascii="宋体" w:hAnsi="宋体" w:eastAsia="宋体" w:cs="宋体"/>
          <w:spacing w:val="-13"/>
          <w:sz w:val="24"/>
          <w:szCs w:val="24"/>
        </w:rPr>
        <w:t>月</w:t>
      </w:r>
      <w:r>
        <w:rPr>
          <w:rFonts w:hint="eastAsia" w:ascii="宋体" w:hAnsi="宋体" w:eastAsia="宋体" w:cs="宋体"/>
          <w:spacing w:val="8"/>
          <w:sz w:val="24"/>
          <w:szCs w:val="24"/>
        </w:rPr>
        <w:t xml:space="preserve">  </w:t>
      </w:r>
      <w:r>
        <w:rPr>
          <w:rFonts w:hint="eastAsia" w:ascii="宋体" w:hAnsi="宋体" w:cs="宋体"/>
          <w:spacing w:val="8"/>
          <w:sz w:val="24"/>
          <w:szCs w:val="24"/>
          <w:lang w:val="en-US" w:eastAsia="zh-CN"/>
        </w:rPr>
        <w:t xml:space="preserve"> </w:t>
      </w:r>
      <w:r>
        <w:rPr>
          <w:rFonts w:hint="eastAsia" w:ascii="宋体" w:hAnsi="宋体" w:eastAsia="宋体" w:cs="宋体"/>
          <w:spacing w:val="8"/>
          <w:sz w:val="24"/>
          <w:szCs w:val="24"/>
        </w:rPr>
        <w:t xml:space="preserve"> </w:t>
      </w:r>
      <w:r>
        <w:rPr>
          <w:rFonts w:hint="eastAsia" w:ascii="宋体" w:hAnsi="宋体" w:eastAsia="宋体" w:cs="宋体"/>
          <w:spacing w:val="-13"/>
          <w:sz w:val="24"/>
          <w:szCs w:val="24"/>
        </w:rPr>
        <w:t>日</w:t>
      </w:r>
    </w:p>
    <w:tbl>
      <w:tblPr>
        <w:tblStyle w:val="5"/>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918"/>
        <w:gridCol w:w="650"/>
        <w:gridCol w:w="223"/>
        <w:gridCol w:w="837"/>
        <w:gridCol w:w="623"/>
        <w:gridCol w:w="595"/>
        <w:gridCol w:w="741"/>
        <w:gridCol w:w="566"/>
        <w:gridCol w:w="628"/>
        <w:gridCol w:w="110"/>
        <w:gridCol w:w="360"/>
        <w:gridCol w:w="280"/>
        <w:gridCol w:w="836"/>
      </w:tblGrid>
      <w:tr w14:paraId="4F2C1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984" w:type="dxa"/>
            <w:noWrap w:val="0"/>
            <w:vAlign w:val="center"/>
          </w:tcPr>
          <w:p w14:paraId="6B5187B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机构名称</w:t>
            </w:r>
          </w:p>
        </w:tc>
        <w:tc>
          <w:tcPr>
            <w:tcW w:w="7367" w:type="dxa"/>
            <w:gridSpan w:val="13"/>
            <w:noWrap w:val="0"/>
            <w:vAlign w:val="center"/>
          </w:tcPr>
          <w:p w14:paraId="407B600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4A1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49F04F5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单位地址</w:t>
            </w:r>
          </w:p>
        </w:tc>
        <w:tc>
          <w:tcPr>
            <w:tcW w:w="4587" w:type="dxa"/>
            <w:gridSpan w:val="7"/>
            <w:tcBorders>
              <w:top w:val="single" w:color="auto" w:sz="4" w:space="0"/>
              <w:left w:val="single" w:color="auto" w:sz="4" w:space="0"/>
              <w:bottom w:val="single" w:color="auto" w:sz="4" w:space="0"/>
              <w:right w:val="single" w:color="auto" w:sz="4" w:space="0"/>
            </w:tcBorders>
            <w:noWrap w:val="0"/>
            <w:vAlign w:val="center"/>
          </w:tcPr>
          <w:p w14:paraId="1390DFE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14:paraId="6E460B1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1116" w:type="dxa"/>
            <w:gridSpan w:val="2"/>
            <w:tcBorders>
              <w:top w:val="single" w:color="auto" w:sz="4" w:space="0"/>
              <w:left w:val="single" w:color="auto" w:sz="4" w:space="0"/>
              <w:bottom w:val="single" w:color="auto" w:sz="4" w:space="0"/>
              <w:right w:val="single" w:color="auto" w:sz="4" w:space="0"/>
            </w:tcBorders>
            <w:noWrap w:val="0"/>
            <w:vAlign w:val="center"/>
          </w:tcPr>
          <w:p w14:paraId="163D30A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22637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5782D9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i w:val="0"/>
                <w:caps w:val="0"/>
                <w:color w:val="171A1D"/>
                <w:spacing w:val="0"/>
                <w:kern w:val="0"/>
                <w:sz w:val="21"/>
                <w:szCs w:val="21"/>
                <w:shd w:val="clear" w:color="auto" w:fill="FFFFFF"/>
                <w:lang w:val="en-US" w:eastAsia="zh-CN" w:bidi="ar"/>
              </w:rPr>
              <w:t>统一社会信用代码</w:t>
            </w:r>
          </w:p>
        </w:tc>
        <w:tc>
          <w:tcPr>
            <w:tcW w:w="3251" w:type="dxa"/>
            <w:gridSpan w:val="5"/>
            <w:tcBorders>
              <w:top w:val="single" w:color="auto" w:sz="4" w:space="0"/>
              <w:left w:val="single" w:color="auto" w:sz="4" w:space="0"/>
              <w:bottom w:val="single" w:color="auto" w:sz="4" w:space="0"/>
              <w:right w:val="single" w:color="auto" w:sz="4" w:space="0"/>
            </w:tcBorders>
            <w:noWrap w:val="0"/>
            <w:vAlign w:val="center"/>
          </w:tcPr>
          <w:p w14:paraId="0263F8C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p>
        </w:tc>
        <w:tc>
          <w:tcPr>
            <w:tcW w:w="1902" w:type="dxa"/>
            <w:gridSpan w:val="3"/>
            <w:tcBorders>
              <w:top w:val="single" w:color="auto" w:sz="4" w:space="0"/>
              <w:left w:val="single" w:color="auto" w:sz="4" w:space="0"/>
              <w:bottom w:val="single" w:color="auto" w:sz="4" w:space="0"/>
              <w:right w:val="single" w:color="auto" w:sz="4" w:space="0"/>
            </w:tcBorders>
            <w:noWrap w:val="0"/>
            <w:vAlign w:val="center"/>
          </w:tcPr>
          <w:p w14:paraId="0770CE0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所属</w:t>
            </w:r>
            <w:r>
              <w:rPr>
                <w:rFonts w:hint="eastAsia" w:ascii="宋体" w:hAnsi="宋体" w:eastAsia="宋体" w:cs="宋体"/>
                <w:color w:val="auto"/>
                <w:sz w:val="21"/>
                <w:szCs w:val="21"/>
                <w:lang w:eastAsia="zh-CN"/>
              </w:rPr>
              <w:t>行政</w:t>
            </w:r>
            <w:r>
              <w:rPr>
                <w:rFonts w:hint="eastAsia" w:ascii="宋体" w:hAnsi="宋体" w:eastAsia="宋体" w:cs="宋体"/>
                <w:sz w:val="21"/>
                <w:szCs w:val="21"/>
                <w:lang w:eastAsia="zh-CN"/>
              </w:rPr>
              <w:t>区</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街道</w:t>
            </w:r>
          </w:p>
        </w:tc>
        <w:tc>
          <w:tcPr>
            <w:tcW w:w="2214" w:type="dxa"/>
            <w:gridSpan w:val="5"/>
            <w:tcBorders>
              <w:top w:val="single" w:color="auto" w:sz="4" w:space="0"/>
              <w:left w:val="single" w:color="auto" w:sz="4" w:space="0"/>
              <w:bottom w:val="single" w:color="auto" w:sz="4" w:space="0"/>
              <w:right w:val="single" w:color="auto" w:sz="4" w:space="0"/>
            </w:tcBorders>
            <w:noWrap w:val="0"/>
            <w:vAlign w:val="center"/>
          </w:tcPr>
          <w:p w14:paraId="08C8F909">
            <w:pPr>
              <w:keepNext w:val="0"/>
              <w:keepLines w:val="0"/>
              <w:pageBreakBefore w:val="0"/>
              <w:kinsoku/>
              <w:wordWrap/>
              <w:overflowPunct/>
              <w:topLinePunct w:val="0"/>
              <w:autoSpaceDE/>
              <w:autoSpaceDN/>
              <w:bidi w:val="0"/>
              <w:adjustRightInd/>
              <w:snapToGrid/>
              <w:spacing w:line="240" w:lineRule="exact"/>
              <w:ind w:firstLine="840" w:firstLineChars="400"/>
              <w:jc w:val="right"/>
              <w:textAlignment w:val="auto"/>
              <w:rPr>
                <w:rFonts w:hint="eastAsia" w:ascii="宋体" w:hAnsi="宋体" w:eastAsia="宋体" w:cs="宋体"/>
                <w:sz w:val="21"/>
                <w:szCs w:val="21"/>
                <w:u w:val="single"/>
                <w:lang w:val="en-US" w:eastAsia="zh-CN"/>
              </w:rPr>
            </w:pPr>
          </w:p>
        </w:tc>
      </w:tr>
      <w:tr w14:paraId="551DC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1A0782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42105B9C">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5F55BB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1B96D15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65B2AF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38B373F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3A1B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0F0EB54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主要负责人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C37D5D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3AFF395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1746123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7498420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2E5FBF5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5631D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2F6990E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实际控制人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7FDEA0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76ADC64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3"/>
            <w:tcBorders>
              <w:top w:val="single" w:color="auto" w:sz="4" w:space="0"/>
              <w:left w:val="single" w:color="auto" w:sz="4" w:space="0"/>
              <w:bottom w:val="single" w:color="auto" w:sz="4" w:space="0"/>
              <w:right w:val="single" w:color="auto" w:sz="4" w:space="0"/>
            </w:tcBorders>
            <w:noWrap w:val="0"/>
            <w:vAlign w:val="center"/>
          </w:tcPr>
          <w:p w14:paraId="2A777D7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213D551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0A2CF5E8">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C16E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5458F16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4587" w:type="dxa"/>
            <w:gridSpan w:val="7"/>
            <w:tcBorders>
              <w:top w:val="single" w:color="auto" w:sz="4" w:space="0"/>
              <w:left w:val="single" w:color="auto" w:sz="4" w:space="0"/>
              <w:bottom w:val="single" w:color="auto" w:sz="4" w:space="0"/>
              <w:right w:val="single" w:color="auto" w:sz="4" w:space="0"/>
            </w:tcBorders>
            <w:noWrap w:val="0"/>
            <w:vAlign w:val="center"/>
          </w:tcPr>
          <w:p w14:paraId="5F8B0559">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3"/>
            <w:tcBorders>
              <w:top w:val="single" w:color="auto" w:sz="4" w:space="0"/>
              <w:left w:val="single" w:color="auto" w:sz="4" w:space="0"/>
              <w:bottom w:val="single" w:color="auto" w:sz="4" w:space="0"/>
              <w:right w:val="single" w:color="auto" w:sz="4" w:space="0"/>
            </w:tcBorders>
            <w:noWrap w:val="0"/>
            <w:vAlign w:val="center"/>
          </w:tcPr>
          <w:p w14:paraId="2EC798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1476" w:type="dxa"/>
            <w:gridSpan w:val="3"/>
            <w:tcBorders>
              <w:top w:val="single" w:color="auto" w:sz="4" w:space="0"/>
              <w:left w:val="single" w:color="auto" w:sz="4" w:space="0"/>
              <w:bottom w:val="single" w:color="auto" w:sz="4" w:space="0"/>
              <w:right w:val="single" w:color="auto" w:sz="4" w:space="0"/>
            </w:tcBorders>
            <w:noWrap w:val="0"/>
            <w:vAlign w:val="center"/>
          </w:tcPr>
          <w:p w14:paraId="7EF90DE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0A1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exact"/>
          <w:jc w:val="center"/>
        </w:trPr>
        <w:tc>
          <w:tcPr>
            <w:tcW w:w="1984" w:type="dxa"/>
            <w:noWrap w:val="0"/>
            <w:vAlign w:val="center"/>
          </w:tcPr>
          <w:p w14:paraId="3F366CA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机构类型</w:t>
            </w:r>
          </w:p>
        </w:tc>
        <w:tc>
          <w:tcPr>
            <w:tcW w:w="7367" w:type="dxa"/>
            <w:gridSpan w:val="13"/>
            <w:noWrap w:val="0"/>
            <w:vAlign w:val="center"/>
          </w:tcPr>
          <w:p w14:paraId="31D3B5C3">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医疗机构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养老机构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其他企业或社会组织</w:t>
            </w:r>
          </w:p>
          <w:p w14:paraId="26827D5C">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□公办机构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□民营</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□国有资本参资</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p>
          <w:p w14:paraId="6521CFE4">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□非营利性机构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□营利性</w:t>
            </w:r>
            <w:r>
              <w:rPr>
                <w:rFonts w:hint="eastAsia" w:ascii="宋体" w:hAnsi="宋体" w:eastAsia="宋体" w:cs="宋体"/>
                <w:color w:val="auto"/>
                <w:sz w:val="21"/>
                <w:szCs w:val="21"/>
              </w:rPr>
              <w:t>机构</w:t>
            </w:r>
          </w:p>
        </w:tc>
      </w:tr>
      <w:tr w14:paraId="7AB1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exact"/>
          <w:jc w:val="center"/>
        </w:trPr>
        <w:tc>
          <w:tcPr>
            <w:tcW w:w="1984" w:type="dxa"/>
            <w:tcBorders>
              <w:top w:val="single" w:color="auto" w:sz="4" w:space="0"/>
              <w:left w:val="single" w:color="auto" w:sz="4" w:space="0"/>
              <w:bottom w:val="single" w:color="auto" w:sz="4" w:space="0"/>
              <w:right w:val="single" w:color="auto" w:sz="4" w:space="0"/>
              <w:tl2br w:val="single" w:color="auto" w:sz="4" w:space="0"/>
            </w:tcBorders>
            <w:noWrap w:val="0"/>
            <w:vAlign w:val="center"/>
          </w:tcPr>
          <w:p w14:paraId="173C518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918" w:type="dxa"/>
            <w:tcBorders>
              <w:top w:val="single" w:color="auto" w:sz="4" w:space="0"/>
              <w:left w:val="single" w:color="auto" w:sz="4" w:space="0"/>
              <w:bottom w:val="single" w:color="auto" w:sz="4" w:space="0"/>
              <w:right w:val="single" w:color="auto" w:sz="4" w:space="0"/>
            </w:tcBorders>
            <w:noWrap w:val="0"/>
            <w:vAlign w:val="center"/>
          </w:tcPr>
          <w:p w14:paraId="321592E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总人数</w:t>
            </w: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648C1CC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评估人员</w:t>
            </w: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3C956AB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其中具有医学、护理、康复、心理、长期照护或养老服务与管理等相关专业背景且具备2年以上相关工作经验人员</w:t>
            </w: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2872018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具有临床医学、护理、康复、精神心理等领域中级及以上职称和2年（含）以上相关工作经历的</w:t>
            </w:r>
            <w:r>
              <w:rPr>
                <w:rFonts w:hint="eastAsia" w:ascii="宋体" w:hAnsi="宋体" w:eastAsia="宋体" w:cs="宋体"/>
                <w:b w:val="0"/>
                <w:bCs w:val="0"/>
                <w:sz w:val="21"/>
                <w:szCs w:val="21"/>
                <w:lang w:eastAsia="zh-CN"/>
              </w:rPr>
              <w:t>评估专家</w:t>
            </w: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4787A8A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专职管理人员</w:t>
            </w:r>
          </w:p>
        </w:tc>
        <w:tc>
          <w:tcPr>
            <w:tcW w:w="836" w:type="dxa"/>
            <w:tcBorders>
              <w:top w:val="single" w:color="auto" w:sz="4" w:space="0"/>
              <w:left w:val="single" w:color="auto" w:sz="4" w:space="0"/>
              <w:bottom w:val="single" w:color="auto" w:sz="4" w:space="0"/>
              <w:right w:val="single" w:color="auto" w:sz="4" w:space="0"/>
            </w:tcBorders>
            <w:noWrap w:val="0"/>
            <w:vAlign w:val="center"/>
          </w:tcPr>
          <w:p w14:paraId="453A54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信息技术管理维护人员</w:t>
            </w:r>
          </w:p>
        </w:tc>
      </w:tr>
      <w:tr w14:paraId="26478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1"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81F1CB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现有人员构成</w:t>
            </w:r>
          </w:p>
        </w:tc>
        <w:tc>
          <w:tcPr>
            <w:tcW w:w="918" w:type="dxa"/>
            <w:tcBorders>
              <w:top w:val="single" w:color="auto" w:sz="4" w:space="0"/>
              <w:left w:val="single" w:color="auto" w:sz="4" w:space="0"/>
              <w:bottom w:val="single" w:color="auto" w:sz="4" w:space="0"/>
              <w:right w:val="single" w:color="auto" w:sz="4" w:space="0"/>
            </w:tcBorders>
            <w:noWrap w:val="0"/>
            <w:vAlign w:val="center"/>
          </w:tcPr>
          <w:p w14:paraId="4913788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4D3EFB1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5851D00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60F0D1F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09A8BB9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36" w:type="dxa"/>
            <w:tcBorders>
              <w:top w:val="single" w:color="auto" w:sz="4" w:space="0"/>
              <w:left w:val="single" w:color="auto" w:sz="4" w:space="0"/>
              <w:bottom w:val="single" w:color="auto" w:sz="4" w:space="0"/>
              <w:right w:val="single" w:color="auto" w:sz="4" w:space="0"/>
            </w:tcBorders>
            <w:noWrap w:val="0"/>
            <w:vAlign w:val="center"/>
          </w:tcPr>
          <w:p w14:paraId="191D7F5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r>
      <w:tr w14:paraId="0639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08A95A4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拟配备人员</w:t>
            </w:r>
          </w:p>
        </w:tc>
        <w:tc>
          <w:tcPr>
            <w:tcW w:w="918" w:type="dxa"/>
            <w:tcBorders>
              <w:top w:val="single" w:color="auto" w:sz="4" w:space="0"/>
              <w:left w:val="single" w:color="auto" w:sz="4" w:space="0"/>
              <w:bottom w:val="single" w:color="auto" w:sz="4" w:space="0"/>
              <w:right w:val="single" w:color="auto" w:sz="4" w:space="0"/>
            </w:tcBorders>
            <w:noWrap w:val="0"/>
            <w:vAlign w:val="center"/>
          </w:tcPr>
          <w:p w14:paraId="65FC1F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73" w:type="dxa"/>
            <w:gridSpan w:val="2"/>
            <w:tcBorders>
              <w:top w:val="single" w:color="auto" w:sz="4" w:space="0"/>
              <w:left w:val="single" w:color="auto" w:sz="4" w:space="0"/>
              <w:bottom w:val="single" w:color="auto" w:sz="4" w:space="0"/>
              <w:right w:val="single" w:color="auto" w:sz="4" w:space="0"/>
            </w:tcBorders>
            <w:noWrap w:val="0"/>
            <w:vAlign w:val="center"/>
          </w:tcPr>
          <w:p w14:paraId="32E2A78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2055" w:type="dxa"/>
            <w:gridSpan w:val="3"/>
            <w:tcBorders>
              <w:top w:val="single" w:color="auto" w:sz="4" w:space="0"/>
              <w:left w:val="single" w:color="auto" w:sz="4" w:space="0"/>
              <w:bottom w:val="single" w:color="auto" w:sz="4" w:space="0"/>
              <w:right w:val="single" w:color="auto" w:sz="4" w:space="0"/>
            </w:tcBorders>
            <w:noWrap w:val="0"/>
            <w:vAlign w:val="center"/>
          </w:tcPr>
          <w:p w14:paraId="4BF43B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1935" w:type="dxa"/>
            <w:gridSpan w:val="3"/>
            <w:tcBorders>
              <w:top w:val="single" w:color="auto" w:sz="4" w:space="0"/>
              <w:left w:val="single" w:color="auto" w:sz="4" w:space="0"/>
              <w:bottom w:val="single" w:color="auto" w:sz="4" w:space="0"/>
              <w:right w:val="single" w:color="auto" w:sz="4" w:space="0"/>
            </w:tcBorders>
            <w:noWrap w:val="0"/>
            <w:vAlign w:val="center"/>
          </w:tcPr>
          <w:p w14:paraId="0C90417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750" w:type="dxa"/>
            <w:gridSpan w:val="3"/>
            <w:tcBorders>
              <w:top w:val="single" w:color="auto" w:sz="4" w:space="0"/>
              <w:left w:val="single" w:color="auto" w:sz="4" w:space="0"/>
              <w:bottom w:val="single" w:color="auto" w:sz="4" w:space="0"/>
              <w:right w:val="single" w:color="auto" w:sz="4" w:space="0"/>
            </w:tcBorders>
            <w:noWrap w:val="0"/>
            <w:vAlign w:val="center"/>
          </w:tcPr>
          <w:p w14:paraId="18633C3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c>
          <w:tcPr>
            <w:tcW w:w="836" w:type="dxa"/>
            <w:tcBorders>
              <w:top w:val="single" w:color="auto" w:sz="4" w:space="0"/>
              <w:left w:val="single" w:color="auto" w:sz="4" w:space="0"/>
              <w:bottom w:val="single" w:color="auto" w:sz="4" w:space="0"/>
              <w:right w:val="single" w:color="auto" w:sz="4" w:space="0"/>
            </w:tcBorders>
            <w:noWrap w:val="0"/>
            <w:vAlign w:val="center"/>
          </w:tcPr>
          <w:p w14:paraId="55D1C8D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bCs w:val="0"/>
                <w:sz w:val="21"/>
                <w:szCs w:val="21"/>
                <w:lang w:eastAsia="zh-CN"/>
              </w:rPr>
            </w:pPr>
          </w:p>
        </w:tc>
      </w:tr>
    </w:tbl>
    <w:p w14:paraId="3E8A3CA5">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Style w:val="7"/>
          <w:rFonts w:hint="eastAsia" w:ascii="仿宋_GB2312" w:hAnsi="仿宋_GB2312" w:eastAsia="仿宋_GB2312" w:cs="仿宋_GB2312"/>
          <w:b w:val="0"/>
          <w:bCs/>
          <w:sz w:val="44"/>
          <w:szCs w:val="44"/>
          <w:highlight w:val="none"/>
          <w:lang w:val="en-US" w:eastAsia="zh-CN"/>
        </w:rPr>
      </w:pPr>
    </w:p>
    <w:sectPr>
      <w:footerReference r:id="rId3" w:type="default"/>
      <w:pgSz w:w="11906" w:h="16838"/>
      <w:pgMar w:top="2098" w:right="1474" w:bottom="1984" w:left="1587" w:header="851" w:footer="150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B65C221-97AB-4802-96E1-E2E8EF03FD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42E1B043-C1A2-47A9-B45E-311CCDF4EBA9}"/>
  </w:font>
  <w:font w:name="方正小标宋_GBK">
    <w:panose1 w:val="03000509000000000000"/>
    <w:charset w:val="86"/>
    <w:family w:val="script"/>
    <w:pitch w:val="default"/>
    <w:sig w:usb0="00000001" w:usb1="080E0000" w:usb2="00000000" w:usb3="00000000" w:csb0="00040000" w:csb1="00000000"/>
    <w:embedRegular r:id="rId3" w:fontKey="{694EBEE7-6401-484F-9338-830E692D3E3B}"/>
  </w:font>
  <w:font w:name="国标黑体">
    <w:altName w:val="黑体"/>
    <w:panose1 w:val="02000500000000000000"/>
    <w:charset w:val="86"/>
    <w:family w:val="auto"/>
    <w:pitch w:val="default"/>
    <w:sig w:usb0="00000000" w:usb1="00000000" w:usb2="00000000" w:usb3="00000000" w:csb0="00040000" w:csb1="00000000"/>
    <w:embedRegular r:id="rId4" w:fontKey="{6C3BC624-9F29-44D5-B8DD-39CF2D84502C}"/>
  </w:font>
  <w:font w:name="方正小标宋简体">
    <w:panose1 w:val="03000509000000000000"/>
    <w:charset w:val="86"/>
    <w:family w:val="auto"/>
    <w:pitch w:val="default"/>
    <w:sig w:usb0="00000001" w:usb1="080E0000" w:usb2="00000000" w:usb3="00000000" w:csb0="00040000" w:csb1="00000000"/>
    <w:embedRegular r:id="rId5" w:fontKey="{6F2B89CD-11AA-4ED0-9BD8-959DB7D25E4C}"/>
  </w:font>
  <w:font w:name="WPSEMBED2">
    <w:panose1 w:val="03000509000000000000"/>
    <w:charset w:val="86"/>
    <w:family w:val="auto"/>
    <w:pitch w:val="default"/>
    <w:sig w:usb0="00000001" w:usb1="080E0000" w:usb2="00000000" w:usb3="00000000" w:csb0="00040000" w:csb1="00000000"/>
  </w:font>
  <w:font w:name="KSOF7DF6CDC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1F88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750279">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750279">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11E06"/>
    <w:rsid w:val="00092509"/>
    <w:rsid w:val="03975349"/>
    <w:rsid w:val="04C609C8"/>
    <w:rsid w:val="063B3638"/>
    <w:rsid w:val="09AA4D5C"/>
    <w:rsid w:val="0A14667A"/>
    <w:rsid w:val="0AD61DC7"/>
    <w:rsid w:val="0B211E06"/>
    <w:rsid w:val="0B3A3EBE"/>
    <w:rsid w:val="0F930041"/>
    <w:rsid w:val="10B650A8"/>
    <w:rsid w:val="13124252"/>
    <w:rsid w:val="178A2FCC"/>
    <w:rsid w:val="18C9062F"/>
    <w:rsid w:val="1AA650CC"/>
    <w:rsid w:val="1DC55869"/>
    <w:rsid w:val="1E707D8A"/>
    <w:rsid w:val="1E9C69B3"/>
    <w:rsid w:val="20085EE1"/>
    <w:rsid w:val="226D7722"/>
    <w:rsid w:val="22BF31CF"/>
    <w:rsid w:val="248846AE"/>
    <w:rsid w:val="25DB5044"/>
    <w:rsid w:val="266A5519"/>
    <w:rsid w:val="28AF7842"/>
    <w:rsid w:val="2BDFC838"/>
    <w:rsid w:val="31900060"/>
    <w:rsid w:val="33FDE9C8"/>
    <w:rsid w:val="3CD33599"/>
    <w:rsid w:val="3CE35948"/>
    <w:rsid w:val="40172D9D"/>
    <w:rsid w:val="4341411C"/>
    <w:rsid w:val="44621C79"/>
    <w:rsid w:val="48256D81"/>
    <w:rsid w:val="4A205A52"/>
    <w:rsid w:val="4C9D782D"/>
    <w:rsid w:val="4CC67EBB"/>
    <w:rsid w:val="4FBE9B3D"/>
    <w:rsid w:val="5052102D"/>
    <w:rsid w:val="51B573C7"/>
    <w:rsid w:val="54662BFB"/>
    <w:rsid w:val="56E14AF5"/>
    <w:rsid w:val="577C44E3"/>
    <w:rsid w:val="59D40607"/>
    <w:rsid w:val="5B254922"/>
    <w:rsid w:val="5B9F4B99"/>
    <w:rsid w:val="5CF60894"/>
    <w:rsid w:val="5DD20604"/>
    <w:rsid w:val="620B2C80"/>
    <w:rsid w:val="694110E9"/>
    <w:rsid w:val="69641CCA"/>
    <w:rsid w:val="697414BE"/>
    <w:rsid w:val="6B5564B7"/>
    <w:rsid w:val="6EB00708"/>
    <w:rsid w:val="6ED861A0"/>
    <w:rsid w:val="76CA06DF"/>
    <w:rsid w:val="776338C9"/>
    <w:rsid w:val="79FFE6BF"/>
    <w:rsid w:val="7AF2049A"/>
    <w:rsid w:val="7B14221F"/>
    <w:rsid w:val="7B2E1E38"/>
    <w:rsid w:val="7C0B6D56"/>
    <w:rsid w:val="7F9B559F"/>
    <w:rsid w:val="7FBF5529"/>
    <w:rsid w:val="A75FA608"/>
    <w:rsid w:val="AEF72DA5"/>
    <w:rsid w:val="CFEDCEF2"/>
    <w:rsid w:val="E55B54A5"/>
    <w:rsid w:val="F7F7C8B3"/>
    <w:rsid w:val="F9F81D0D"/>
    <w:rsid w:val="FBE3F536"/>
    <w:rsid w:val="FF275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rFonts w:ascii="Calibri" w:hAnsi="Calibri" w:eastAsia="宋体" w:cs="Times New Roman"/>
      <w:kern w:val="0"/>
      <w:sz w:val="24"/>
      <w:szCs w:val="22"/>
      <w:lang w:val="en-US" w:eastAsia="zh-CN" w:bidi="ar"/>
    </w:rPr>
  </w:style>
  <w:style w:type="character" w:styleId="7">
    <w:name w:val="Strong"/>
    <w:basedOn w:val="6"/>
    <w:qFormat/>
    <w:uiPriority w:val="0"/>
    <w:rPr>
      <w:rFonts w:ascii="Calibri" w:hAnsi="Calibri" w:eastAsia="宋体"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0d10d5-c2dc-479b-9948-c75be358deb6}">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5575</Words>
  <Characters>5596</Characters>
  <Lines>0</Lines>
  <Paragraphs>0</Paragraphs>
  <TotalTime>0</TotalTime>
  <ScaleCrop>false</ScaleCrop>
  <LinksUpToDate>false</LinksUpToDate>
  <CharactersWithSpaces>5686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2026-02-27T03:11:00Z</dcterms:created>
  <dc:creator>123</dc:creator>
  <cp:lastModifiedBy>123</cp:lastModifiedBy>
  <dcterms:modified xsi:type="dcterms:W3CDTF">2026-05-11T08:43:46Z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5154257C693E49C3879ABABDBCCAC8A9_11</vt:lpwstr>
  </property>
  <property fmtid="{D5CDD505-2E9C-101B-9397-08002B2CF9AE}" pid="4" name="KSOTemplateDocerSaveRecord">
    <vt:lpwstr>eyJoZGlkIjoiNDE3N2IxYmI5MjUzOTNjNjIwY2VlZDM0ZjFmYTI3MmIiLCJ1c2VySWQiOiIyODMzMDQ1NTEifQ==</vt:lpwstr>
  </property>
</Properties>
</file>