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172D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附件1</w:t>
      </w:r>
    </w:p>
    <w:p w14:paraId="71897BE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highlight w:val="none"/>
          <w:lang w:val="en-US" w:eastAsia="zh-CN"/>
        </w:rPr>
      </w:pPr>
    </w:p>
    <w:p w14:paraId="7F24C92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Style w:val="7"/>
          <w:rFonts w:hint="eastAsia" w:ascii="方正小标宋_GBK" w:hAnsi="方正小标宋_GBK" w:eastAsia="方正小标宋_GBK" w:cs="方正小标宋_GBK"/>
          <w:b w:val="0"/>
          <w:bCs/>
          <w:sz w:val="44"/>
          <w:szCs w:val="44"/>
          <w:highlight w:val="none"/>
          <w:lang w:val="en-US" w:eastAsia="zh-CN"/>
        </w:rPr>
      </w:pPr>
      <w:bookmarkStart w:id="0" w:name="_GoBack"/>
      <w:bookmarkEnd w:id="0"/>
      <w:r>
        <w:rPr>
          <w:rStyle w:val="7"/>
          <w:rFonts w:hint="eastAsia" w:ascii="方正小标宋_GBK" w:hAnsi="方正小标宋_GBK" w:eastAsia="方正小标宋_GBK" w:cs="方正小标宋_GBK"/>
          <w:b w:val="0"/>
          <w:bCs/>
          <w:sz w:val="44"/>
          <w:szCs w:val="44"/>
          <w:highlight w:val="none"/>
          <w:lang w:val="en-US" w:eastAsia="zh-CN"/>
        </w:rPr>
        <w:t>赣州市长期护理保险护理服务机构定点管理</w:t>
      </w:r>
    </w:p>
    <w:p w14:paraId="7D1C523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Style w:val="7"/>
          <w:rFonts w:hint="eastAsia" w:ascii="方正小标宋简体" w:hAnsi="方正小标宋简体" w:eastAsia="方正小标宋简体" w:cs="方正小标宋简体"/>
          <w:b w:val="0"/>
          <w:bCs/>
          <w:sz w:val="44"/>
          <w:szCs w:val="44"/>
          <w:highlight w:val="none"/>
          <w:lang w:val="en-US" w:eastAsia="zh-CN"/>
        </w:rPr>
      </w:pPr>
      <w:r>
        <w:rPr>
          <w:rStyle w:val="7"/>
          <w:rFonts w:hint="eastAsia" w:ascii="方正小标宋_GBK" w:hAnsi="方正小标宋_GBK" w:eastAsia="方正小标宋_GBK" w:cs="方正小标宋_GBK"/>
          <w:b w:val="0"/>
          <w:bCs/>
          <w:sz w:val="44"/>
          <w:szCs w:val="44"/>
          <w:highlight w:val="none"/>
          <w:lang w:val="en-US" w:eastAsia="zh-CN"/>
        </w:rPr>
        <w:t>实施细则（试行）</w:t>
      </w:r>
      <w:r>
        <w:rPr>
          <w:rStyle w:val="7"/>
          <w:rFonts w:hint="eastAsia" w:ascii="方正小标宋简体" w:hAnsi="方正小标宋简体" w:eastAsia="方正小标宋简体" w:cs="方正小标宋简体"/>
          <w:b w:val="0"/>
          <w:bCs/>
          <w:sz w:val="44"/>
          <w:szCs w:val="44"/>
          <w:highlight w:val="none"/>
          <w:lang w:val="en-US" w:eastAsia="zh-CN"/>
        </w:rPr>
        <w:t>（征求意见稿）</w:t>
      </w:r>
    </w:p>
    <w:p w14:paraId="69556E1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highlight w:val="none"/>
          <w:lang w:val="en-US" w:eastAsia="zh-CN"/>
        </w:rPr>
      </w:pPr>
    </w:p>
    <w:p w14:paraId="782FFD3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第一章 总则</w:t>
      </w:r>
    </w:p>
    <w:p w14:paraId="7C7CD9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第一条 </w:t>
      </w:r>
      <w:r>
        <w:rPr>
          <w:rFonts w:hint="eastAsia" w:ascii="仿宋_GB2312" w:hAnsi="仿宋_GB2312" w:cs="仿宋_GB2312"/>
          <w:highlight w:val="none"/>
          <w:lang w:val="en-US" w:eastAsia="zh-CN"/>
        </w:rPr>
        <w:t>为加强我市长期护理保险（以下简称“长护险”）护理服务机构定点管理，规范服务行为，提高长期护理保险基金使用效能，保障享受长期护理保险待遇的参保人员合法权益，促进长护险制度健康可持续发展，根据《国家医保局办公室关于印发〈长期护理保险护理服务机构定点管理办法（试行）〉的通知》（医保办发〔2024〕21号）等有关规定，结合本市实际，制定本实施细则。</w:t>
      </w:r>
    </w:p>
    <w:p w14:paraId="05DA73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第二条 </w:t>
      </w:r>
      <w:r>
        <w:rPr>
          <w:rFonts w:hint="eastAsia" w:ascii="仿宋_GB2312" w:hAnsi="仿宋_GB2312" w:cs="仿宋_GB2312"/>
          <w:highlight w:val="none"/>
          <w:lang w:val="en-US" w:eastAsia="zh-CN"/>
        </w:rPr>
        <w:t>本实施细则所称的长期护理保险定点护理服务机构（以下简称“定点长护服务机构”），是指依法成立，经审核合格后与县（市、区）医疗保障经办机构签订长期护理保险服务协议（以下简称“长护协议”），为长护险参保人员提供长期护理服务的医疗机构、养老机构或者业务范围包括养老服务、照护服务或者护理服务的其他服务机构。定点管理应坚持以人民为中心，遵循保障基本、公平公正、权责明晰、动态平衡的原则，引导定点长护服务机构规范服务行为，为参保人员提供适宜、专业的长期护理服务。</w:t>
      </w:r>
    </w:p>
    <w:p w14:paraId="625A37F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第三条 </w:t>
      </w:r>
      <w:r>
        <w:rPr>
          <w:rFonts w:hint="eastAsia" w:ascii="仿宋_GB2312" w:hAnsi="仿宋_GB2312" w:cs="仿宋_GB2312"/>
          <w:highlight w:val="none"/>
          <w:lang w:val="en-US" w:eastAsia="zh-CN"/>
        </w:rPr>
        <w:t>本实施细则适用于本市定点长护服务机构的定点确定、协议管理、运行监测、监督管理等定点管理工作。</w:t>
      </w:r>
    </w:p>
    <w:p w14:paraId="79FC87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第四条 </w:t>
      </w:r>
      <w:r>
        <w:rPr>
          <w:rFonts w:hint="eastAsia" w:ascii="仿宋_GB2312" w:hAnsi="仿宋_GB2312" w:cs="仿宋_GB2312"/>
          <w:highlight w:val="none"/>
          <w:lang w:val="en-US" w:eastAsia="zh-CN"/>
        </w:rPr>
        <w:t>市医疗保障行政部门负责制定定点长护服务机构管理实施细则；市医疗保障经办机构负责制定长护协议，负责定点长护服务机构准入的考察评估，指导各</w:t>
      </w:r>
      <w:r>
        <w:rPr>
          <w:rFonts w:hint="eastAsia" w:ascii="仿宋_GB2312" w:hAnsi="仿宋_GB2312" w:cs="仿宋_GB2312"/>
          <w:highlight w:val="none"/>
        </w:rPr>
        <w:t>县（市、区）医疗保障</w:t>
      </w:r>
      <w:r>
        <w:rPr>
          <w:rFonts w:hint="eastAsia" w:ascii="仿宋_GB2312" w:hAnsi="仿宋_GB2312" w:cs="仿宋_GB2312"/>
          <w:highlight w:val="none"/>
          <w:lang w:val="en-US" w:eastAsia="zh-CN"/>
        </w:rPr>
        <w:t>经办机构做好定点长护服务机构和管理；各</w:t>
      </w:r>
      <w:r>
        <w:rPr>
          <w:rFonts w:hint="eastAsia" w:ascii="仿宋_GB2312" w:hAnsi="仿宋_GB2312" w:cs="仿宋_GB2312"/>
          <w:highlight w:val="none"/>
        </w:rPr>
        <w:t>县（市、区）医疗保障</w:t>
      </w:r>
      <w:r>
        <w:rPr>
          <w:rFonts w:hint="eastAsia" w:ascii="仿宋_GB2312" w:hAnsi="仿宋_GB2312" w:cs="仿宋_GB2312"/>
          <w:highlight w:val="none"/>
          <w:lang w:val="en-US" w:eastAsia="zh-CN"/>
        </w:rPr>
        <w:t>经办机构具体实施定点长护服务机构的申请受理、协议签订、协议履行、费用审核结算、日常管理及绩效考核等工作；各县（市、区）医疗保障行政部门负责对医保经办机构及定点长护服务机构的履约情况进行监督。</w:t>
      </w:r>
    </w:p>
    <w:p w14:paraId="1F68318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第五条 </w:t>
      </w:r>
      <w:r>
        <w:rPr>
          <w:rFonts w:hint="eastAsia" w:ascii="仿宋_GB2312" w:hAnsi="仿宋_GB2312" w:cs="仿宋_GB2312"/>
          <w:highlight w:val="none"/>
          <w:lang w:val="en-US" w:eastAsia="zh-CN"/>
        </w:rPr>
        <w:t>市医疗保障行政部门应综合考虑长期护理服务需求、基金收支、服务资源等因素，遵循技术好、服务优、价格低、布局合理的原则，合理规划并动态调整全市护理机构总量，区分居家护理型（含居家护理服务和社区护理服务）和机构护理型两类定点长护服务机构进行规划配置。其中，居家护理型按每家机构平均覆盖2000名左右60岁以上常住老年人口、服务80名左右重度失能人员的标准进行规划；机构护理型按全市院护床位总量不超过当期长护险待遇总人数30%左右规划，当区域内床位使用率低于70%时，原则上不再新增购买院护床位。各辖区应结合本地区参保人数、床位数量及机构类型，合理规划辖区内院护机构的数量和布局。同时，引导资源在区域间合理均衡配置，提升服务体验，促进长期护理服务市场有序发展。</w:t>
      </w:r>
    </w:p>
    <w:p w14:paraId="352CB89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第二章 定点确定</w:t>
      </w:r>
    </w:p>
    <w:p w14:paraId="3AAD3D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第六条 </w:t>
      </w:r>
      <w:r>
        <w:rPr>
          <w:rFonts w:hint="eastAsia" w:ascii="仿宋_GB2312" w:hAnsi="仿宋_GB2312" w:cs="仿宋_GB2312"/>
          <w:highlight w:val="none"/>
          <w:lang w:val="en-US" w:eastAsia="zh-CN"/>
        </w:rPr>
        <w:t>符合下列条件的养老机构、医疗机构或者其他服务机构，可以自愿向所在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rPr>
        <w:t>医疗保障</w:t>
      </w:r>
      <w:r>
        <w:rPr>
          <w:rFonts w:hint="eastAsia" w:ascii="仿宋_GB2312" w:hAnsi="仿宋_GB2312" w:cs="仿宋_GB2312"/>
          <w:highlight w:val="none"/>
          <w:lang w:val="en-US" w:eastAsia="zh-CN"/>
        </w:rPr>
        <w:t>经办机构申请成为定点长护服务机构：</w:t>
      </w:r>
    </w:p>
    <w:p w14:paraId="7673C1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（一）养老机构。取得《养老机构设立许可证》且尚在有效期内或者在主管部门备案并且依法登记，为老年人提供全日集中住宿和照料护理服务，床位数在10张以上的机构；</w:t>
      </w:r>
    </w:p>
    <w:p w14:paraId="451DF6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医疗机构。取得《医疗机构执业许可证》或者诊所备案凭证，且依法登记的医疗机构。经军队主管部门批准有为民服务资质的军队医疗机构，符合本实施细则第七条、第八条规定条件的，也可以申请成为定点长护服务机构。</w:t>
      </w:r>
    </w:p>
    <w:p w14:paraId="5D7BE1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（三）其他服务机构。依法登记成立，主营业务为从事养老服务、照护服务或者护理服务的法人机构。</w:t>
      </w:r>
    </w:p>
    <w:p w14:paraId="5D7301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第七条 </w:t>
      </w:r>
      <w:r>
        <w:rPr>
          <w:rFonts w:hint="eastAsia" w:ascii="仿宋_GB2312" w:hAnsi="仿宋_GB2312" w:cs="仿宋_GB2312"/>
          <w:highlight w:val="none"/>
          <w:lang w:val="en-US" w:eastAsia="zh-CN"/>
        </w:rPr>
        <w:t>申请成为定点长护服务机构应同时具备以下条件：</w:t>
      </w:r>
    </w:p>
    <w:p w14:paraId="3B4DA7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（一）具备法人资格，在现营业场所正式营业3个月以上，业务用房的使用期限不少于3年。</w:t>
      </w:r>
    </w:p>
    <w:p w14:paraId="337A48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（二）规范经营，近一年内（不足一年的自开业以来）未因医疗服务、养老服务等行为受到相关行政部门处罚。</w:t>
      </w:r>
    </w:p>
    <w:p w14:paraId="76B3C3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配备不少于1名专（兼）职管理人员，熟悉长期护理保险政策规定及要求；长期护理服务能力在100人以上的，应当成立长护管理内设工作机构并配备专职管理人员。配备长期照护师、养老护理员、医疗护理员等相关护理人员，人员数量与服务能力、服务范围相匹配，其中，长期照护师人数占护理人员的比例不低于3%（计算结果不足整数的向上取整），成为定点长护服务机构3年内提升至不低于30%，逐步实现长期照护师全覆盖。</w:t>
      </w:r>
    </w:p>
    <w:p w14:paraId="0DC534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（四）具有与长期护理服务相适应的业务用房、管理用房及设施设备。申请机构护理的，应当设立独立的长期护理服务专区，设置清晰、醒目的标识。</w:t>
      </w:r>
    </w:p>
    <w:p w14:paraId="0EB716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（五）建立健全与长期护理保险政策规定相适应的服务管理、财务管理、信息统计、内控管理、人员管理、档案管理等制度。</w:t>
      </w:r>
    </w:p>
    <w:p w14:paraId="6E5E61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（六）具备使用全国统一的医保信息平台、与医保信息平台长期护理保险功能模块按接口标准进行对接等条件，配备相应的管理和操作人员。</w:t>
      </w:r>
    </w:p>
    <w:p w14:paraId="78FB80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（七）与长护服务相关的收费项目和收费价格符合政策规定，实行收费公示和费用清单制度。</w:t>
      </w:r>
    </w:p>
    <w:p w14:paraId="159490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（八）符合法律法规和省级及以上医疗保障行政部门规定的其他条件。</w:t>
      </w:r>
    </w:p>
    <w:p w14:paraId="2C93EC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申请提供医疗护理服务的长护服务机构，应当符合卫生健康部门的有关规定。</w:t>
      </w:r>
    </w:p>
    <w:p w14:paraId="3FB2D6A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第八条 </w:t>
      </w:r>
      <w:r>
        <w:rPr>
          <w:rFonts w:hint="eastAsia" w:ascii="仿宋_GB2312" w:hAnsi="仿宋_GB2312" w:cs="仿宋_GB2312"/>
          <w:highlight w:val="none"/>
          <w:lang w:val="en-US" w:eastAsia="zh-CN"/>
        </w:rPr>
        <w:t>定点长护服务机构提供的长期护理服务类型主要分为机构护理、居家护理和社区护理，申请不同服务类型的，还应具备以下条件：</w:t>
      </w:r>
    </w:p>
    <w:p w14:paraId="6D65BC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居家护理，指长护服务机构在参保人员所居住的家庭住所内为参保人员提供长期护理服务。应具备固定的长期护理上门服务经营管理用房和服务技能培训场地；配备专业护理服务团队，长期照护师等护理服务人员不少于4人；具备医疗资质的，医护人员不少于2人；不具备医疗资质的，应与就近医疗机构开展合作并签订相关协议。</w:t>
      </w:r>
    </w:p>
    <w:p w14:paraId="3E7944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社区护理，指以社区为依托，能够为参保人员提供就近就便、非全日的长期护理服务。应配备专业护理服务团队，并定期开展技能培训；长期照护师等护理服务人员不少于4人；具备医疗资质的，医护人员不少于2人；不具备医疗资质的，应与就近医疗机构开展合作并签订相关协议。</w:t>
      </w:r>
    </w:p>
    <w:p w14:paraId="5F89C4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机构护理，指长护服务机构在所开设的机构内为参保人员提供全日的长期护理服务。应设立独立的长期护理服务专区并有明显标志；护理床位数应不少于20张；护理服务人员与护理床位配比不低于1:3。配备必要的医疗护理用具、设备及环境消毒灭菌设施，以及洗澡设施等基础硬件。</w:t>
      </w:r>
    </w:p>
    <w:p w14:paraId="4AED972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养老机构申请机构护理的，床位数应在60张以上，具备医疗资质或至少与一家医保住院定点医疗机构签订服务合作协议，协议应包含服务条件、服务内容、服务规范、服务要求等因素。</w:t>
      </w:r>
    </w:p>
    <w:p w14:paraId="061228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医疗机构申请机构护理的，应具备住院资质，取得本市医保定点资格，护理服务团队中执业医师和执业护士各不少于2人。</w:t>
      </w:r>
    </w:p>
    <w:p w14:paraId="4E6DCA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第九条 </w:t>
      </w:r>
      <w:r>
        <w:rPr>
          <w:rFonts w:hint="eastAsia" w:ascii="仿宋_GB2312" w:hAnsi="仿宋_GB2312" w:cs="仿宋_GB2312"/>
          <w:highlight w:val="none"/>
          <w:lang w:val="en-US" w:eastAsia="zh-CN"/>
        </w:rPr>
        <w:t>定点长护服务机构设立分支机构或者多个站点的，新增机构（站点）应当按定点长护服务机构相应条件和程序重新申请定点管理。</w:t>
      </w:r>
    </w:p>
    <w:p w14:paraId="4723FE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第十条 </w:t>
      </w:r>
      <w:r>
        <w:rPr>
          <w:rFonts w:hint="eastAsia" w:ascii="仿宋_GB2312" w:hAnsi="仿宋_GB2312" w:cs="仿宋_GB2312"/>
          <w:highlight w:val="none"/>
          <w:lang w:val="en-US" w:eastAsia="zh-CN"/>
        </w:rPr>
        <w:t>符合第七条规定条件的机构，可自愿向所在县（市、区）医疗保障经办机构提出书面申请，并提交以下材料，复印件需加盖单位公章。</w:t>
      </w:r>
    </w:p>
    <w:p w14:paraId="3E54DB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（一）《赣州市长期护理保险定点护理服务机构申请表》（见附件）。</w:t>
      </w:r>
    </w:p>
    <w:p w14:paraId="177A19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医疗机构提供《医疗机构执业许可证》正、副本复印件或者诊所备案凭证复印件；养老机构提供《养老机构设立许可证》正、副本复印件或者设置养老机构备案回执复印件，与医疗机构签订的合作协议及合作医疗机构的《医疗机构执业许可证》；其他服务机构提供民政、卫健、市场监管等部门颁发的从事养老服务、照护服务或者护理服务的资质证明。</w:t>
      </w:r>
    </w:p>
    <w:p w14:paraId="55F4E4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事业单位提供《事业单位法人证书》的正、副本复印件；民办非营利性机构提供《民办非企业单位登记证书》的正、副本复印件；营利性机构提供《营业执照》的正、副本复印件；法定代表人或单位负责人身份证复印件；</w:t>
      </w:r>
    </w:p>
    <w:p w14:paraId="05B00D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（四）业务用房产权证明或租赁剩余有效期不少于3年的租赁合同复印件。</w:t>
      </w:r>
    </w:p>
    <w:p w14:paraId="05ECC1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（五）机构工作人员花名册、劳动合同、相关职业资格证书复印件，近3个月工资银行流水及社会保险缴纳情况等相关材料。</w:t>
      </w:r>
    </w:p>
    <w:p w14:paraId="1A796E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（六）申请机构护理的，应提供设立长期护理专区的相关材料及护理床位张数相关资料。</w:t>
      </w:r>
    </w:p>
    <w:p w14:paraId="71858E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（七）符合长护险政策要求的服务管理、财务管理、信息统计、人员管理、档案管理等制度文本。</w:t>
      </w:r>
    </w:p>
    <w:p w14:paraId="37FBC5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（八）信息系统配备相关材料或承诺书。</w:t>
      </w:r>
    </w:p>
    <w:p w14:paraId="46CC17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（九）与长期护理服务相关的收费项目和收费价格清单。</w:t>
      </w:r>
    </w:p>
    <w:p w14:paraId="6379F4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（十）按要求需提供的其他材料。</w:t>
      </w:r>
    </w:p>
    <w:p w14:paraId="2E85D10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第十一条 </w:t>
      </w:r>
      <w:r>
        <w:rPr>
          <w:rFonts w:hint="eastAsia" w:ascii="仿宋_GB2312" w:hAnsi="仿宋_GB2312" w:cs="仿宋_GB2312"/>
          <w:b w:val="0"/>
          <w:bCs w:val="0"/>
          <w:highlight w:val="none"/>
          <w:lang w:val="en-US" w:eastAsia="zh-CN"/>
        </w:rPr>
        <w:t>长护服务</w:t>
      </w:r>
      <w:r>
        <w:rPr>
          <w:rFonts w:hint="eastAsia" w:ascii="仿宋_GB2312" w:hAnsi="仿宋_GB2312" w:cs="仿宋_GB2312"/>
          <w:highlight w:val="none"/>
          <w:lang w:val="en-US" w:eastAsia="zh-CN"/>
        </w:rPr>
        <w:t>机构有下列情形之一的，不予受理定点申请：</w:t>
      </w:r>
    </w:p>
    <w:p w14:paraId="1BD974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（一）以医疗美容、辅助生殖、种植牙等医疗服务为主要执业范围的；</w:t>
      </w:r>
    </w:p>
    <w:p w14:paraId="34C3B6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（二）采取伪造、篡改申请材料等不正当手段申请定点的；</w:t>
      </w:r>
    </w:p>
    <w:p w14:paraId="383530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（三）受到相关行政部门行政处罚（处理），但未完全履行处罚（处理）责任的；</w:t>
      </w:r>
    </w:p>
    <w:p w14:paraId="65F781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（四）因违法违规被解除服务协议未满3年，或已满3年但未完全履行相应法律责任或违约责任的；</w:t>
      </w:r>
    </w:p>
    <w:p w14:paraId="018084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（五）因严重违约被解除协议未满1年，或已满1年但未完全履行违约责任的；</w:t>
      </w:r>
    </w:p>
    <w:p w14:paraId="110F2A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（六）法定代表人、主要负责人或实际控制人违法违规导致协议解除，其新成立机构未满3年的；</w:t>
      </w:r>
    </w:p>
    <w:p w14:paraId="56CA0D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（七）法定代表人、主要负责人或实际控制人被依法列入严重失信名单的；</w:t>
      </w:r>
    </w:p>
    <w:p w14:paraId="7C71F1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（八）法定代表人、主要负责人、实际控制人或者股东设立长期护理保险失能等级评估机构的；</w:t>
      </w:r>
    </w:p>
    <w:p w14:paraId="2C10F2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（九）基本医保定点服务协议处于中止期间的；</w:t>
      </w:r>
    </w:p>
    <w:p w14:paraId="33D40C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（十）不符合国家、省、市相关法律法规和政策规定的其他情形。</w:t>
      </w:r>
    </w:p>
    <w:p w14:paraId="1208F52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第十二条 </w:t>
      </w:r>
      <w:r>
        <w:rPr>
          <w:rFonts w:hint="eastAsia" w:ascii="仿宋_GB2312" w:hAnsi="仿宋_GB2312" w:cs="仿宋_GB2312"/>
          <w:highlight w:val="none"/>
          <w:lang w:val="en-US" w:eastAsia="zh-CN"/>
        </w:rPr>
        <w:t>定点长护服务机构的确定按以下流程进行：</w:t>
      </w:r>
    </w:p>
    <w:p w14:paraId="37526D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受理审核。长护服务机构提出定点申请，所在县（市、区）医疗保障经办机构应当及时受理并组织对申请材料进行形式审查。申请材料不全的，应当一次性告知需补齐的材料；材料齐全的，予以受理。不符合申请条件的，应当告知并说明理由。申请机构应当自收到材料补齐通知之日起5个工作日内补齐，逾期未补齐的视作放弃申请。</w:t>
      </w:r>
    </w:p>
    <w:p w14:paraId="5D8AED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审核内容包括但不限于：</w:t>
      </w:r>
    </w:p>
    <w:p w14:paraId="613A02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1.是否符合区域内定点长护服务机构配置规划。</w:t>
      </w:r>
    </w:p>
    <w:p w14:paraId="41EA6D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2.是否具备医疗机构执业许可证、诊所备案凭证、养老机构设立许可证、登记备案回执等资质文件材料。</w:t>
      </w:r>
    </w:p>
    <w:p w14:paraId="6601D5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3.是否具有与服务功能相匹配的基础设备设施。</w:t>
      </w:r>
    </w:p>
    <w:p w14:paraId="21DF58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4.医师、护士（师）、长期照护师、养老护理员等护理服务人员数量、执业资质、培训情况等信息是否符合有关规定。</w:t>
      </w:r>
    </w:p>
    <w:p w14:paraId="11033A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5.是否具有与长期护理保险政策对应的内部管理制度等相关材料。</w:t>
      </w:r>
    </w:p>
    <w:p w14:paraId="5630C5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6.是否具备使用全国统一的医保信息平台、与医保信息平台长期护理保险功能模块按接口标准进行对接的条件。</w:t>
      </w:r>
    </w:p>
    <w:p w14:paraId="3E020D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7.与长期护理服务相关的收费项目和收费价格是否符合政策规定</w:t>
      </w:r>
    </w:p>
    <w:p w14:paraId="284816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（二）组织评估。形式审查通过后，市医疗保障</w:t>
      </w:r>
      <w:r>
        <w:rPr>
          <w:rFonts w:hint="eastAsia" w:ascii="仿宋_GB2312" w:hAnsi="仿宋_GB2312" w:cs="仿宋_GB2312"/>
          <w:highlight w:val="none"/>
          <w:lang w:eastAsia="zh-CN"/>
        </w:rPr>
        <w:t>经办机构</w:t>
      </w:r>
      <w:r>
        <w:rPr>
          <w:rFonts w:hint="eastAsia" w:ascii="仿宋_GB2312" w:hAnsi="仿宋_GB2312" w:cs="仿宋_GB2312"/>
          <w:highlight w:val="none"/>
          <w:lang w:val="en-US" w:eastAsia="zh-CN"/>
        </w:rPr>
        <w:t>通过</w:t>
      </w:r>
      <w:r>
        <w:rPr>
          <w:rFonts w:hint="eastAsia" w:ascii="仿宋_GB2312" w:hAnsi="仿宋_GB2312" w:cs="仿宋_GB2312"/>
          <w:highlight w:val="none"/>
        </w:rPr>
        <w:t>采取书面审查</w:t>
      </w:r>
      <w:r>
        <w:rPr>
          <w:rFonts w:hint="eastAsia" w:ascii="仿宋_GB2312" w:hAnsi="仿宋_GB2312" w:cs="仿宋_GB2312"/>
          <w:highlight w:val="none"/>
          <w:lang w:eastAsia="zh-CN"/>
        </w:rPr>
        <w:t>、</w:t>
      </w:r>
      <w:r>
        <w:rPr>
          <w:rFonts w:hint="eastAsia" w:ascii="仿宋_GB2312" w:hAnsi="仿宋_GB2312" w:cs="仿宋_GB2312"/>
          <w:highlight w:val="none"/>
        </w:rPr>
        <w:t>现场核查</w:t>
      </w:r>
      <w:r>
        <w:rPr>
          <w:rFonts w:hint="eastAsia" w:ascii="仿宋_GB2312" w:hAnsi="仿宋_GB2312" w:cs="仿宋_GB2312"/>
          <w:highlight w:val="none"/>
          <w:lang w:eastAsia="zh-CN"/>
        </w:rPr>
        <w:t>、</w:t>
      </w:r>
      <w:r>
        <w:rPr>
          <w:rFonts w:hint="eastAsia" w:ascii="仿宋_GB2312" w:hAnsi="仿宋_GB2312" w:cs="仿宋_GB2312"/>
          <w:highlight w:val="none"/>
          <w:lang w:val="en-US" w:eastAsia="zh-CN"/>
        </w:rPr>
        <w:t>集体审议</w:t>
      </w:r>
      <w:r>
        <w:rPr>
          <w:rFonts w:hint="eastAsia" w:ascii="仿宋_GB2312" w:hAnsi="仿宋_GB2312" w:cs="仿宋_GB2312"/>
          <w:highlight w:val="none"/>
        </w:rPr>
        <w:t>等</w:t>
      </w:r>
      <w:r>
        <w:rPr>
          <w:rFonts w:hint="eastAsia" w:ascii="仿宋_GB2312" w:hAnsi="仿宋_GB2312" w:cs="仿宋_GB2312"/>
          <w:highlight w:val="none"/>
          <w:lang w:val="en-US" w:eastAsia="zh-CN"/>
        </w:rPr>
        <w:t>形式，组织开展</w:t>
      </w:r>
      <w:r>
        <w:rPr>
          <w:rFonts w:hint="eastAsia" w:ascii="仿宋_GB2312" w:hAnsi="仿宋_GB2312" w:cs="仿宋_GB2312"/>
          <w:highlight w:val="none"/>
        </w:rPr>
        <w:t>综合</w:t>
      </w:r>
      <w:r>
        <w:rPr>
          <w:rFonts w:hint="eastAsia" w:ascii="仿宋_GB2312" w:hAnsi="仿宋_GB2312" w:cs="仿宋_GB2312"/>
          <w:highlight w:val="none"/>
          <w:lang w:val="en-US" w:eastAsia="zh-CN"/>
        </w:rPr>
        <w:t>审核。审核小组成员由长护管理、养老服务、医疗保障、医药卫生、财务管理、信息技术等相关领域的专业人员构成，审核小组成员人数不少于5人且为单数。自受理申请材料起，审核时间不超过3个月，长护服务机构补充材料时间不计入审核期限。</w:t>
      </w:r>
    </w:p>
    <w:p w14:paraId="133F3E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strike w:val="0"/>
          <w:dstrike w:val="0"/>
          <w:highlight w:val="none"/>
          <w:lang w:val="en-US" w:eastAsia="zh-CN"/>
        </w:rPr>
      </w:pPr>
      <w:r>
        <w:rPr>
          <w:rFonts w:hint="eastAsia" w:ascii="仿宋_GB2312" w:hAnsi="仿宋_GB2312" w:cs="仿宋_GB2312"/>
          <w:highlight w:val="none"/>
          <w:lang w:val="en-US" w:eastAsia="zh-CN"/>
        </w:rPr>
        <w:t>（三）审核结果。审核结果分为合格和不合格。医疗保障</w:t>
      </w:r>
      <w:r>
        <w:rPr>
          <w:rFonts w:hint="eastAsia" w:ascii="仿宋_GB2312" w:hAnsi="仿宋_GB2312" w:cs="仿宋_GB2312"/>
          <w:highlight w:val="none"/>
          <w:lang w:eastAsia="zh-CN"/>
        </w:rPr>
        <w:t>经办机构</w:t>
      </w:r>
      <w:r>
        <w:rPr>
          <w:rFonts w:hint="eastAsia" w:ascii="仿宋_GB2312" w:hAnsi="仿宋_GB2312" w:cs="仿宋_GB2312"/>
          <w:highlight w:val="none"/>
        </w:rPr>
        <w:t>将</w:t>
      </w:r>
      <w:r>
        <w:rPr>
          <w:rFonts w:hint="eastAsia" w:ascii="仿宋_GB2312" w:hAnsi="仿宋_GB2312" w:cs="仿宋_GB2312"/>
          <w:highlight w:val="none"/>
          <w:lang w:val="en-US" w:eastAsia="zh-CN"/>
        </w:rPr>
        <w:t>审核</w:t>
      </w:r>
      <w:r>
        <w:rPr>
          <w:rFonts w:hint="eastAsia" w:ascii="仿宋_GB2312" w:hAnsi="仿宋_GB2312" w:cs="仿宋_GB2312"/>
          <w:highlight w:val="none"/>
        </w:rPr>
        <w:t>结果</w:t>
      </w:r>
      <w:r>
        <w:rPr>
          <w:rFonts w:hint="eastAsia" w:ascii="仿宋_GB2312" w:hAnsi="仿宋_GB2312" w:cs="仿宋_GB2312"/>
          <w:highlight w:val="none"/>
          <w:lang w:val="en-US" w:eastAsia="zh-CN"/>
        </w:rPr>
        <w:t>分别向同级</w:t>
      </w:r>
      <w:r>
        <w:rPr>
          <w:rFonts w:hint="eastAsia" w:ascii="仿宋_GB2312" w:hAnsi="仿宋_GB2312" w:cs="仿宋_GB2312"/>
          <w:highlight w:val="none"/>
        </w:rPr>
        <w:t>医疗保障行政部门</w:t>
      </w:r>
      <w:r>
        <w:rPr>
          <w:rFonts w:hint="eastAsia" w:ascii="仿宋_GB2312" w:hAnsi="仿宋_GB2312" w:cs="仿宋_GB2312"/>
          <w:highlight w:val="none"/>
          <w:lang w:val="en-US" w:eastAsia="zh-CN"/>
        </w:rPr>
        <w:t>备案。</w:t>
      </w:r>
      <w:r>
        <w:rPr>
          <w:rFonts w:hint="eastAsia" w:ascii="仿宋_GB2312" w:hAnsi="仿宋_GB2312" w:cs="仿宋_GB2312"/>
          <w:strike w:val="0"/>
          <w:dstrike w:val="0"/>
          <w:highlight w:val="none"/>
          <w:lang w:val="en-US" w:eastAsia="zh-CN"/>
        </w:rPr>
        <w:t>对审核合格的，</w:t>
      </w:r>
      <w:r>
        <w:rPr>
          <w:rFonts w:hint="eastAsia" w:ascii="仿宋_GB2312" w:hAnsi="仿宋_GB2312" w:cs="仿宋_GB2312"/>
          <w:highlight w:val="none"/>
          <w:lang w:val="en-US" w:eastAsia="zh-CN"/>
        </w:rPr>
        <w:t>医疗保障</w:t>
      </w:r>
      <w:r>
        <w:rPr>
          <w:rFonts w:hint="eastAsia" w:ascii="仿宋_GB2312" w:hAnsi="仿宋_GB2312" w:cs="仿宋_GB2312"/>
          <w:highlight w:val="none"/>
          <w:lang w:eastAsia="zh-CN"/>
        </w:rPr>
        <w:t>经办机构</w:t>
      </w:r>
      <w:r>
        <w:rPr>
          <w:rFonts w:hint="eastAsia" w:ascii="仿宋_GB2312" w:hAnsi="仿宋_GB2312" w:cs="仿宋_GB2312"/>
          <w:highlight w:val="none"/>
          <w:lang w:val="en-US" w:eastAsia="zh-CN"/>
        </w:rPr>
        <w:t>应将</w:t>
      </w:r>
      <w:r>
        <w:rPr>
          <w:rFonts w:hint="eastAsia" w:ascii="仿宋_GB2312" w:hAnsi="仿宋_GB2312" w:cs="仿宋_GB2312"/>
          <w:strike w:val="0"/>
          <w:dstrike w:val="0"/>
          <w:highlight w:val="none"/>
          <w:lang w:val="en-US" w:eastAsia="zh-CN"/>
        </w:rPr>
        <w:t>审核合格的申请机构纳入拟签订协议的长护服务机构名单，并向社会公示。对审核不合格的，应告知其理由，并提出整改建议；自结果告知送达之日起3个月内完成整改的，可以申请再次组织审核，审核仍不合格的，1年内不得再次提出定点管理申请。</w:t>
      </w:r>
    </w:p>
    <w:p w14:paraId="4500CC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（四）社会公示。对拟定的定点长护服务机构名单，在赣州市医疗保障局网站或“赣州医保”微信公众号等平台公示，公示期为5个工作日。</w:t>
      </w:r>
    </w:p>
    <w:p w14:paraId="68A0A8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（五）协议签订。公示期满无异议的，</w:t>
      </w:r>
      <w:r>
        <w:rPr>
          <w:rFonts w:hint="eastAsia" w:ascii="仿宋_GB2312" w:hAnsi="仿宋_GB2312" w:eastAsia="仿宋_GB2312" w:cs="仿宋_GB2312"/>
          <w:highlight w:val="none"/>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医疗保障经办机构与定点长护服务机构签订长护协议。逾期未签订长护协议的，视为自动放弃。对公示有异议的，</w:t>
      </w:r>
      <w:r>
        <w:rPr>
          <w:rFonts w:hint="eastAsia" w:ascii="仿宋_GB2312" w:hAnsi="仿宋_GB2312" w:eastAsia="仿宋_GB2312" w:cs="仿宋_GB2312"/>
          <w:highlight w:val="none"/>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医疗保障经办机构应组织核查并作出处理。</w:t>
      </w:r>
    </w:p>
    <w:p w14:paraId="45DFEA9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第十三条 </w:t>
      </w:r>
      <w:r>
        <w:rPr>
          <w:rFonts w:hint="eastAsia" w:ascii="仿宋_GB2312" w:hAnsi="仿宋_GB2312" w:eastAsia="仿宋_GB2312" w:cs="仿宋_GB2312"/>
          <w:highlight w:val="none"/>
        </w:rPr>
        <w:t>协议期一般为1年</w:t>
      </w:r>
      <w:r>
        <w:rPr>
          <w:rFonts w:hint="eastAsia" w:ascii="仿宋_GB2312" w:hAnsi="仿宋_GB2312" w:cs="仿宋_GB2312"/>
          <w:highlight w:val="none"/>
          <w:lang w:val="en-US" w:eastAsia="zh-CN"/>
        </w:rPr>
        <w:t>。长护协议内容应明确双方权利义务、护理服务要求、费用结算、违约责任、协议中止与解除、争议处理等条款及适用情形，建立动态准入退出机制。长护协议续签需由定点长护服务机构提前3个月提出申请，医疗保障经办机构结合协议履行和绩效考核情况决定。</w:t>
      </w:r>
    </w:p>
    <w:p w14:paraId="530AA3E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第十四条 </w:t>
      </w:r>
      <w:r>
        <w:rPr>
          <w:rFonts w:hint="eastAsia" w:ascii="仿宋_GB2312" w:hAnsi="仿宋_GB2312" w:cs="仿宋_GB2312"/>
          <w:highlight w:val="none"/>
          <w:lang w:val="en-US" w:eastAsia="zh-CN"/>
        </w:rPr>
        <w:t>市医疗保障经办机构应及时向社会公布新签订及续签的定点长护服务机构名单，包括机构名称、地址、联系方式、服务类型等信息，便于参保人或其监护人、委托代理人选择和社会监督。</w:t>
      </w:r>
    </w:p>
    <w:p w14:paraId="092062D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第十五条 </w:t>
      </w:r>
      <w:r>
        <w:rPr>
          <w:rFonts w:hint="eastAsia" w:ascii="仿宋_GB2312" w:hAnsi="仿宋_GB2312" w:cs="仿宋_GB2312"/>
          <w:highlight w:val="none"/>
          <w:lang w:val="en-US" w:eastAsia="zh-CN"/>
        </w:rPr>
        <w:t>定点长护服务机构在签订长护协议后1个月内应做好以下协议履行的准备工作：</w:t>
      </w:r>
    </w:p>
    <w:p w14:paraId="6CB3C2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（一）参加长护险相关政策培训。机构负责人、业务负责人、业务骨干等从业人员须接受医保经办机构组织开展的政策培训。</w:t>
      </w:r>
    </w:p>
    <w:p w14:paraId="7B955A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（二）按要求完成信息系统、监管平台软硬件配置、改造和网络接入工作，并经医保经办机构验收合格。</w:t>
      </w:r>
    </w:p>
    <w:p w14:paraId="416273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（三）按规定悬挂统一的定点标识。</w:t>
      </w:r>
    </w:p>
    <w:p w14:paraId="03F29B8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p>
    <w:p w14:paraId="60EECF0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第三章 运行管理</w:t>
      </w:r>
    </w:p>
    <w:p w14:paraId="3CEFD3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第十六条 </w:t>
      </w:r>
      <w:r>
        <w:rPr>
          <w:rFonts w:hint="eastAsia" w:ascii="仿宋_GB2312" w:hAnsi="仿宋_GB2312" w:cs="仿宋_GB2312"/>
          <w:highlight w:val="none"/>
          <w:lang w:val="en-US" w:eastAsia="zh-CN"/>
        </w:rPr>
        <w:t>定点长护服务机构具有为参保人员提供合规长护服务后获得长期护理保险结算费用，提出变更、中止或者解除长护协议，要求所在地医疗保障经办机构全面诚信履行协议，对完善定点管理有关规定提出意见建议等权利。</w:t>
      </w:r>
    </w:p>
    <w:p w14:paraId="09CAC3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定点长护服务机构应当与参保人员或者其监护人、委托代理人签订服务合同。</w:t>
      </w:r>
    </w:p>
    <w:p w14:paraId="5A16E7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定点长护服务机构发现参保人员失能状态与评估等级不符，或者参保人员死亡、住院等情况，应当及时向</w:t>
      </w:r>
      <w:r>
        <w:rPr>
          <w:rFonts w:hint="eastAsia" w:ascii="仿宋_GB2312" w:hAnsi="仿宋_GB2312" w:eastAsia="仿宋_GB2312" w:cs="仿宋_GB2312"/>
          <w:highlight w:val="none"/>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医疗保障经办机构报告。</w:t>
      </w:r>
    </w:p>
    <w:p w14:paraId="23E72D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第十七条 </w:t>
      </w:r>
      <w:r>
        <w:rPr>
          <w:rFonts w:hint="eastAsia" w:ascii="仿宋_GB2312" w:hAnsi="仿宋_GB2312" w:cs="仿宋_GB2312"/>
          <w:highlight w:val="none"/>
          <w:lang w:val="en-US" w:eastAsia="zh-CN"/>
        </w:rPr>
        <w:t>定点长护服务机构应当遵守长期护理保险有关政策规定，制定服务流程和服务标准，确保护理服务一致性和规范性。按照长护协议要求，加强内部建设，为参保人员提供适宜、专业的长期护理服务，确保服务质量和基金使用安全。</w:t>
      </w:r>
    </w:p>
    <w:p w14:paraId="171750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第十八条 </w:t>
      </w:r>
      <w:r>
        <w:rPr>
          <w:rFonts w:hint="eastAsia" w:ascii="仿宋_GB2312" w:hAnsi="仿宋_GB2312" w:cs="仿宋_GB2312"/>
          <w:highlight w:val="none"/>
          <w:lang w:val="en-US" w:eastAsia="zh-CN"/>
        </w:rPr>
        <w:t>定点长护服务机构应建立覆盖护理服务全流程的内控体系，形成部门之间、岗位之间和业务之间相互制衡、相互监督的内控机制，强化质量控制，确保护理服务质量。建立人员管理和培训制度，及时维护机构、人员等编码信息，对护理服务人员实名制管理。定期组织开展政策法规、职业道德和护理技能培训及考核，确保护理服务人员熟悉长期护理保险相关政策法规，熟练掌握护理专业技能。护理服务人员发生变动的，应及时向</w:t>
      </w:r>
      <w:r>
        <w:rPr>
          <w:rFonts w:hint="eastAsia" w:ascii="仿宋_GB2312" w:hAnsi="仿宋_GB2312" w:eastAsia="仿宋_GB2312" w:cs="仿宋_GB2312"/>
          <w:highlight w:val="none"/>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医疗保障经办机构备案。</w:t>
      </w:r>
    </w:p>
    <w:p w14:paraId="46D6317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kern w:val="2"/>
          <w:sz w:val="32"/>
          <w:highlight w:val="none"/>
          <w:lang w:val="en-US" w:eastAsia="zh-CN" w:bidi="ar-SA"/>
        </w:rPr>
        <w:t>第十九条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kern w:val="2"/>
          <w:sz w:val="32"/>
          <w:szCs w:val="24"/>
          <w:highlight w:val="none"/>
          <w:shd w:val="clear"/>
          <w:lang w:val="en-US" w:eastAsia="zh-CN" w:bidi="ar-SA"/>
        </w:rPr>
        <w:t>定点长护服务机构应根据参保人护理需求，制定有针对性的护理服务计划，服务计划应包括需要护理的主要问题、采取的具体护理措施、服务频次、服务时间、护理目标等</w:t>
      </w:r>
      <w:r>
        <w:rPr>
          <w:rFonts w:hint="eastAsia" w:ascii="仿宋_GB2312" w:hAnsi="仿宋_GB2312" w:cs="仿宋_GB2312"/>
          <w:kern w:val="2"/>
          <w:sz w:val="32"/>
          <w:szCs w:val="24"/>
          <w:highlight w:val="none"/>
          <w:shd w:val="clear"/>
          <w:lang w:val="en-US" w:eastAsia="zh-CN" w:bidi="ar-SA"/>
        </w:rPr>
        <w:t>，</w:t>
      </w:r>
      <w:r>
        <w:rPr>
          <w:rFonts w:hint="eastAsia" w:ascii="仿宋_GB2312" w:hAnsi="仿宋_GB2312" w:eastAsia="仿宋_GB2312" w:cs="仿宋_GB2312"/>
          <w:kern w:val="2"/>
          <w:sz w:val="32"/>
          <w:szCs w:val="24"/>
          <w:highlight w:val="none"/>
          <w:shd w:val="clear"/>
          <w:lang w:val="en-US" w:eastAsia="zh-CN" w:bidi="ar-SA"/>
        </w:rPr>
        <w:t>严格按照制定的服务计划为参保人员提供护理服务，需调整护理服务计划和</w:t>
      </w:r>
      <w:r>
        <w:rPr>
          <w:rFonts w:hint="eastAsia" w:ascii="仿宋_GB2312" w:hAnsi="仿宋_GB2312" w:eastAsia="仿宋_GB2312" w:cs="仿宋_GB2312"/>
          <w:kern w:val="2"/>
          <w:sz w:val="32"/>
          <w:szCs w:val="24"/>
          <w:highlight w:val="none"/>
          <w:lang w:val="en-US" w:eastAsia="zh-CN" w:bidi="ar-SA"/>
        </w:rPr>
        <w:t>向参保人提</w:t>
      </w:r>
      <w:r>
        <w:rPr>
          <w:rFonts w:hint="eastAsia" w:ascii="仿宋_GB2312" w:hAnsi="仿宋_GB2312" w:cs="仿宋_GB2312"/>
          <w:highlight w:val="none"/>
          <w:lang w:val="en-US" w:eastAsia="zh-CN"/>
        </w:rPr>
        <w:t>供长护险保障范围外的服务项目应当事先征得参保人或其监护人、委托代理人书面同意。</w:t>
      </w:r>
    </w:p>
    <w:p w14:paraId="3ED6DF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b w:val="0"/>
          <w:bCs w:val="0"/>
          <w:highlight w:val="none"/>
          <w:lang w:val="en-US" w:eastAsia="zh-CN"/>
        </w:rPr>
      </w:pPr>
      <w:r>
        <w:rPr>
          <w:rFonts w:hint="eastAsia" w:ascii="仿宋_GB2312" w:hAnsi="仿宋_GB2312" w:cs="仿宋_GB2312"/>
          <w:highlight w:val="none"/>
          <w:lang w:val="en-US" w:eastAsia="zh-CN"/>
        </w:rPr>
        <w:t>定点长护服务机构应于服务开展前5个工作日内，将护理服务协议、护理服务计划报所在县（市、区）医疗保障经办机构备案后方可执行，未制定符合要求的服务计划或未按服务计划进行的护理服务费用，长护险基金不予支付。</w:t>
      </w:r>
    </w:p>
    <w:p w14:paraId="7E9820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color w:val="auto"/>
          <w:kern w:val="0"/>
          <w:sz w:val="32"/>
          <w:szCs w:val="32"/>
          <w:highlight w:val="none"/>
          <w:shd w:val="clear" w:color="auto" w:fill="FFFFFF"/>
          <w:lang w:val="en-US" w:eastAsia="zh-CN" w:bidi="ar"/>
        </w:rPr>
      </w:pPr>
      <w:r>
        <w:rPr>
          <w:rFonts w:hint="eastAsia" w:ascii="仿宋_GB2312" w:hAnsi="仿宋_GB2312" w:cs="仿宋_GB2312"/>
          <w:b/>
          <w:bCs/>
          <w:highlight w:val="none"/>
          <w:lang w:val="en-US" w:eastAsia="zh-CN"/>
        </w:rPr>
        <w:t xml:space="preserve">第二十条 </w:t>
      </w:r>
      <w:r>
        <w:rPr>
          <w:rFonts w:hint="eastAsia" w:ascii="仿宋_GB2312" w:hAnsi="仿宋_GB2312" w:cs="仿宋_GB2312"/>
          <w:highlight w:val="none"/>
          <w:lang w:val="en-US" w:eastAsia="zh-CN"/>
        </w:rPr>
        <w:t>定点长护服务机构应核验参保人的有效身份凭证，按照护理服务计划、行业规范等为参保人提供服务，</w:t>
      </w:r>
      <w:r>
        <w:rPr>
          <w:rFonts w:hint="eastAsia" w:ascii="仿宋_GB2312" w:hAnsi="仿宋_GB2312" w:eastAsia="仿宋_GB2312" w:cs="仿宋_GB2312"/>
          <w:color w:val="auto"/>
          <w:kern w:val="0"/>
          <w:sz w:val="32"/>
          <w:szCs w:val="32"/>
          <w:highlight w:val="none"/>
          <w:shd w:val="clear" w:color="auto" w:fill="FFFFFF"/>
          <w:lang w:val="en-US" w:eastAsia="zh-CN" w:bidi="ar"/>
        </w:rPr>
        <w:t>按规定使用音视频记录、服务轨迹定位和生物识别等管理手段。服务结束后由参保人或其监护人、委托代理人进行满意度评价。</w:t>
      </w:r>
      <w:r>
        <w:rPr>
          <w:rFonts w:hint="default" w:ascii="仿宋_GB2312" w:hAnsi="仿宋_GB2312" w:eastAsia="仿宋_GB2312" w:cs="仿宋_GB2312"/>
          <w:color w:val="auto"/>
          <w:kern w:val="0"/>
          <w:sz w:val="32"/>
          <w:szCs w:val="32"/>
          <w:highlight w:val="none"/>
          <w:shd w:val="clear" w:color="auto" w:fill="FFFFFF"/>
          <w:lang w:val="en-US" w:eastAsia="zh-CN" w:bidi="ar"/>
        </w:rPr>
        <w:t>医疗保障经办机构、长护险</w:t>
      </w:r>
      <w:r>
        <w:rPr>
          <w:rFonts w:hint="eastAsia" w:ascii="仿宋_GB2312" w:hAnsi="仿宋_GB2312" w:eastAsia="仿宋_GB2312" w:cs="仿宋_GB2312"/>
          <w:color w:val="auto"/>
          <w:kern w:val="0"/>
          <w:sz w:val="32"/>
          <w:szCs w:val="32"/>
          <w:highlight w:val="none"/>
          <w:shd w:val="clear" w:color="auto" w:fill="FFFFFF"/>
          <w:lang w:val="en-US" w:eastAsia="zh-CN" w:bidi="ar"/>
        </w:rPr>
        <w:t>经办机构</w:t>
      </w:r>
      <w:r>
        <w:rPr>
          <w:rFonts w:hint="default" w:ascii="仿宋_GB2312" w:hAnsi="仿宋_GB2312" w:eastAsia="仿宋_GB2312" w:cs="仿宋_GB2312"/>
          <w:color w:val="auto"/>
          <w:kern w:val="0"/>
          <w:sz w:val="32"/>
          <w:szCs w:val="32"/>
          <w:highlight w:val="none"/>
          <w:shd w:val="clear" w:color="auto" w:fill="FFFFFF"/>
          <w:lang w:val="en-US" w:eastAsia="zh-CN" w:bidi="ar"/>
        </w:rPr>
        <w:t>对服务计划执行情况进行监督</w:t>
      </w:r>
      <w:r>
        <w:rPr>
          <w:rFonts w:hint="eastAsia" w:ascii="仿宋_GB2312" w:hAnsi="仿宋_GB2312" w:cs="仿宋_GB2312"/>
          <w:color w:val="auto"/>
          <w:kern w:val="0"/>
          <w:sz w:val="32"/>
          <w:szCs w:val="32"/>
          <w:highlight w:val="none"/>
          <w:shd w:val="clear" w:color="auto" w:fill="FFFFFF"/>
          <w:lang w:val="en-US" w:eastAsia="zh-CN" w:bidi="ar"/>
        </w:rPr>
        <w:t>。</w:t>
      </w:r>
    </w:p>
    <w:p w14:paraId="10A8D5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建立完善的护理服务档案管理制度，</w:t>
      </w:r>
      <w:r>
        <w:rPr>
          <w:rFonts w:hint="eastAsia" w:ascii="仿宋_GB2312" w:hAnsi="仿宋_GB2312" w:eastAsia="仿宋_GB2312" w:cs="仿宋_GB2312"/>
          <w:color w:val="auto"/>
          <w:kern w:val="0"/>
          <w:sz w:val="32"/>
          <w:szCs w:val="32"/>
          <w:highlight w:val="none"/>
          <w:shd w:val="clear" w:color="auto" w:fill="FFFFFF"/>
          <w:lang w:val="en-US" w:eastAsia="zh-CN" w:bidi="ar"/>
        </w:rPr>
        <w:t>按照“一人一档”的要求，参照住院管理模式建立病历并保存相关记录，</w:t>
      </w:r>
      <w:r>
        <w:rPr>
          <w:rFonts w:hint="eastAsia" w:ascii="仿宋_GB2312" w:hAnsi="仿宋_GB2312" w:cs="仿宋_GB2312"/>
          <w:highlight w:val="none"/>
          <w:lang w:val="en-US" w:eastAsia="zh-CN"/>
        </w:rPr>
        <w:t>建立护理服务文书电子档案，</w:t>
      </w:r>
      <w:r>
        <w:rPr>
          <w:rFonts w:hint="eastAsia" w:ascii="仿宋_GB2312" w:hAnsi="仿宋_GB2312" w:eastAsia="仿宋_GB2312" w:cs="仿宋_GB2312"/>
          <w:color w:val="auto"/>
          <w:kern w:val="0"/>
          <w:sz w:val="32"/>
          <w:szCs w:val="32"/>
          <w:highlight w:val="none"/>
          <w:shd w:val="clear" w:color="auto" w:fill="FFFFFF"/>
          <w:lang w:val="en-US" w:eastAsia="zh-CN" w:bidi="ar"/>
        </w:rPr>
        <w:t>如实上传参保人员</w:t>
      </w:r>
      <w:r>
        <w:rPr>
          <w:rFonts w:hint="eastAsia" w:ascii="仿宋_GB2312" w:hAnsi="仿宋_GB2312" w:eastAsia="仿宋_GB2312" w:cs="仿宋_GB2312"/>
          <w:color w:val="000000"/>
          <w:kern w:val="0"/>
          <w:sz w:val="32"/>
          <w:szCs w:val="32"/>
          <w:highlight w:val="none"/>
          <w:lang w:val="en-US" w:eastAsia="zh-CN" w:bidi="ar"/>
        </w:rPr>
        <w:t>的护理服务费用明细</w:t>
      </w:r>
      <w:r>
        <w:rPr>
          <w:rFonts w:hint="eastAsia" w:ascii="仿宋_GB2312" w:hAnsi="仿宋_GB2312" w:cs="仿宋_GB2312"/>
          <w:highlight w:val="none"/>
          <w:lang w:val="en-US" w:eastAsia="zh-CN"/>
        </w:rPr>
        <w:t>。档案包括参保人基本信息、评估结论、护理服务计划、服务记录、</w:t>
      </w:r>
      <w:r>
        <w:rPr>
          <w:rFonts w:hint="eastAsia" w:ascii="仿宋_GB2312" w:hAnsi="仿宋_GB2312" w:eastAsia="仿宋_GB2312" w:cs="仿宋_GB2312"/>
          <w:color w:val="auto"/>
          <w:kern w:val="0"/>
          <w:sz w:val="32"/>
          <w:szCs w:val="32"/>
          <w:highlight w:val="none"/>
          <w:shd w:val="clear" w:color="auto" w:fill="FFFFFF"/>
          <w:lang w:val="en-US" w:eastAsia="zh-CN" w:bidi="ar"/>
        </w:rPr>
        <w:t>检查检验报告、</w:t>
      </w:r>
      <w:r>
        <w:rPr>
          <w:rFonts w:hint="eastAsia" w:ascii="仿宋_GB2312" w:hAnsi="仿宋_GB2312" w:cs="仿宋_GB2312"/>
          <w:highlight w:val="none"/>
          <w:lang w:val="en-US" w:eastAsia="zh-CN"/>
        </w:rPr>
        <w:t>费用结算凭证等内容。定点长护服务机构应妥善保管参保人员长期护理服务档案，保存期不少于10年。鼓励定点长护服务机构建立电子档案管理系统。</w:t>
      </w:r>
    </w:p>
    <w:p w14:paraId="1412CD6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第二十一条 </w:t>
      </w:r>
      <w:r>
        <w:rPr>
          <w:rFonts w:hint="eastAsia" w:ascii="仿宋_GB2312" w:hAnsi="仿宋_GB2312" w:cs="仿宋_GB2312"/>
          <w:highlight w:val="none"/>
          <w:lang w:val="en-US" w:eastAsia="zh-CN"/>
        </w:rPr>
        <w:t>定点长护服务机构应建立健全财务管理制度，规范财务核算，按协议约定与</w:t>
      </w:r>
      <w:r>
        <w:rPr>
          <w:rFonts w:hint="eastAsia" w:ascii="仿宋_GB2312" w:hAnsi="仿宋_GB2312" w:eastAsia="仿宋_GB2312" w:cs="仿宋_GB2312"/>
          <w:highlight w:val="none"/>
          <w:lang w:val="en-US" w:eastAsia="zh-CN"/>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医疗保障经办机构进行费用对账和结算。</w:t>
      </w:r>
    </w:p>
    <w:p w14:paraId="5F0E422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第二十二条 </w:t>
      </w:r>
      <w:r>
        <w:rPr>
          <w:rFonts w:hint="eastAsia" w:ascii="仿宋_GB2312" w:hAnsi="仿宋_GB2312" w:cs="仿宋_GB2312"/>
          <w:highlight w:val="none"/>
          <w:lang w:val="en-US" w:eastAsia="zh-CN"/>
        </w:rPr>
        <w:t>定点长护服务机构应当建立信息安全管理制度，明确信息安全管理责任，控制相关信息使用范围，防止信息外泄和滥用，确保信息安全，严格保护参保人隐私。未经参保人本人同意或医保经办机构书面许可，不得向任何机构或个人泄露参保人员护理相关的隐私信息（法律法规另有规定的除外）。</w:t>
      </w:r>
    </w:p>
    <w:p w14:paraId="64DCAA6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第二十三条 </w:t>
      </w:r>
      <w:r>
        <w:rPr>
          <w:rFonts w:hint="eastAsia" w:ascii="仿宋_GB2312" w:hAnsi="仿宋_GB2312" w:cs="仿宋_GB2312"/>
          <w:highlight w:val="none"/>
          <w:lang w:val="en-US" w:eastAsia="zh-CN"/>
        </w:rPr>
        <w:t>定点长护服务机构应当配合医疗保障部门及医疗保障经办机构的日常检查、服务质量评估、绩效考核等工作，并按要求如实、及时提供相关资料。</w:t>
      </w:r>
    </w:p>
    <w:p w14:paraId="08C17F5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第二十四条 </w:t>
      </w:r>
      <w:r>
        <w:rPr>
          <w:rFonts w:hint="eastAsia" w:ascii="仿宋_GB2312" w:hAnsi="仿宋_GB2312" w:cs="仿宋_GB2312"/>
          <w:b w:val="0"/>
          <w:bCs w:val="0"/>
          <w:highlight w:val="none"/>
          <w:lang w:val="en-US" w:eastAsia="zh-CN"/>
        </w:rPr>
        <w:t>定点长</w:t>
      </w:r>
      <w:r>
        <w:rPr>
          <w:rFonts w:hint="eastAsia" w:ascii="仿宋_GB2312" w:hAnsi="仿宋_GB2312" w:cs="仿宋_GB2312"/>
          <w:highlight w:val="none"/>
          <w:lang w:val="en-US" w:eastAsia="zh-CN"/>
        </w:rPr>
        <w:t>护服务机构应通过全国统一的医保信息平台长期护理保险相关功能模块，或者自建护理服务内部管理系统并与全国统一的医保信息平台对接，实现长期护理保险服务等数据信息的管理与传输。</w:t>
      </w:r>
    </w:p>
    <w:p w14:paraId="7C3426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eastAsia="zh-CN"/>
        </w:rPr>
      </w:pPr>
      <w:r>
        <w:rPr>
          <w:rFonts w:hint="eastAsia" w:ascii="仿宋_GB2312" w:hAnsi="仿宋_GB2312" w:cs="仿宋_GB2312"/>
          <w:b/>
          <w:bCs/>
          <w:highlight w:val="none"/>
          <w:lang w:val="en-US" w:eastAsia="zh-CN"/>
        </w:rPr>
        <w:t xml:space="preserve">第二十五条 </w:t>
      </w:r>
      <w:r>
        <w:rPr>
          <w:rFonts w:hint="eastAsia" w:ascii="仿宋_GB2312" w:hAnsi="仿宋_GB2312" w:cs="仿宋_GB2312"/>
          <w:highlight w:val="none"/>
          <w:lang w:eastAsia="zh-CN"/>
        </w:rPr>
        <w:t>定点长护服务机构应当自觉加强行业自律，遵守国家和地方政府有关服务价格管理的法律法规、标准和规范，全面实行收费公示和费用清单制度。医疗护理服务价格参照当地定点医疗机构医疗服务（项目名称、项目内涵、计价单位、收费标准等）价格政策执行。生活照护服务可以由定点长护服务机构按照公平合理、诚实守信、质价相符的原则确定收费价格，价格具有公允性，同行同业态比价具有经济性优势。定点长护服务机构应当配合</w:t>
      </w:r>
      <w:r>
        <w:rPr>
          <w:rFonts w:hint="eastAsia" w:ascii="仿宋_GB2312" w:hAnsi="仿宋_GB2312" w:cs="仿宋_GB2312"/>
          <w:highlight w:val="none"/>
          <w:lang w:val="en-US" w:eastAsia="zh-CN"/>
        </w:rPr>
        <w:t>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highlight w:val="none"/>
          <w:lang w:val="en-US" w:eastAsia="zh-CN"/>
        </w:rPr>
        <w:t>医疗保障</w:t>
      </w:r>
      <w:r>
        <w:rPr>
          <w:rFonts w:hint="eastAsia" w:ascii="仿宋_GB2312" w:hAnsi="仿宋_GB2312" w:cs="仿宋_GB2312"/>
          <w:highlight w:val="none"/>
          <w:lang w:eastAsia="zh-CN"/>
        </w:rPr>
        <w:t>经办机构开展长期护理保险费用审核、服务质量检查、绩效考核等工作，及时按要求向</w:t>
      </w:r>
      <w:r>
        <w:rPr>
          <w:rFonts w:hint="eastAsia" w:ascii="仿宋_GB2312" w:hAnsi="仿宋_GB2312" w:cs="仿宋_GB2312"/>
          <w:highlight w:val="none"/>
          <w:lang w:val="en-US" w:eastAsia="zh-CN"/>
        </w:rPr>
        <w:t>医疗保障</w:t>
      </w:r>
      <w:r>
        <w:rPr>
          <w:rFonts w:hint="eastAsia" w:ascii="仿宋_GB2312" w:hAnsi="仿宋_GB2312" w:cs="仿宋_GB2312"/>
          <w:highlight w:val="none"/>
          <w:lang w:eastAsia="zh-CN"/>
        </w:rPr>
        <w:t>行政部门提供长期护理保险基金使用监督管理、协议管理等</w:t>
      </w:r>
      <w:r>
        <w:rPr>
          <w:rFonts w:hint="eastAsia" w:ascii="仿宋_GB2312" w:hAnsi="仿宋_GB2312" w:cs="仿宋_GB2312"/>
          <w:highlight w:val="none"/>
          <w:lang w:val="en-US" w:eastAsia="zh-CN"/>
        </w:rPr>
        <w:t>所需</w:t>
      </w:r>
      <w:r>
        <w:rPr>
          <w:rFonts w:hint="eastAsia" w:ascii="仿宋_GB2312" w:hAnsi="仿宋_GB2312" w:cs="仿宋_GB2312"/>
          <w:highlight w:val="none"/>
          <w:lang w:eastAsia="zh-CN"/>
        </w:rPr>
        <w:t>信息。</w:t>
      </w:r>
    </w:p>
    <w:p w14:paraId="4BFB1E1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eastAsia="zh-CN"/>
        </w:rPr>
      </w:pPr>
      <w:r>
        <w:rPr>
          <w:rFonts w:hint="eastAsia" w:ascii="仿宋_GB2312" w:hAnsi="仿宋_GB2312" w:cs="仿宋_GB2312"/>
          <w:b/>
          <w:bCs/>
          <w:highlight w:val="none"/>
          <w:lang w:val="en-US" w:eastAsia="zh-CN"/>
        </w:rPr>
        <w:t xml:space="preserve">第二十六条 </w:t>
      </w:r>
      <w:r>
        <w:rPr>
          <w:rFonts w:hint="eastAsia" w:ascii="仿宋_GB2312" w:hAnsi="仿宋_GB2312" w:cs="仿宋_GB2312"/>
          <w:highlight w:val="none"/>
          <w:lang w:eastAsia="zh-CN"/>
        </w:rPr>
        <w:t>定点长护服务机构不得重复、分解收取护理服务费用，</w:t>
      </w:r>
      <w:r>
        <w:rPr>
          <w:rFonts w:hint="eastAsia" w:ascii="仿宋_GB2312" w:hAnsi="仿宋_GB2312" w:cs="仿宋_GB2312"/>
          <w:highlight w:val="none"/>
          <w:lang w:val="en-US" w:eastAsia="zh-CN"/>
        </w:rPr>
        <w:t>不得串换服务项目，</w:t>
      </w:r>
      <w:r>
        <w:rPr>
          <w:rFonts w:hint="eastAsia" w:ascii="仿宋_GB2312" w:hAnsi="仿宋_GB2312" w:cs="仿宋_GB2312"/>
          <w:highlight w:val="none"/>
          <w:lang w:eastAsia="zh-CN"/>
        </w:rPr>
        <w:t>收费价格</w:t>
      </w:r>
      <w:r>
        <w:rPr>
          <w:rFonts w:hint="eastAsia" w:ascii="仿宋_GB2312" w:hAnsi="仿宋_GB2312" w:cs="仿宋_GB2312"/>
          <w:highlight w:val="none"/>
          <w:lang w:val="en-US" w:eastAsia="zh-CN"/>
        </w:rPr>
        <w:t>不得</w:t>
      </w:r>
      <w:r>
        <w:rPr>
          <w:rFonts w:hint="eastAsia" w:ascii="仿宋_GB2312" w:hAnsi="仿宋_GB2312" w:cs="仿宋_GB2312"/>
          <w:highlight w:val="none"/>
          <w:lang w:eastAsia="zh-CN"/>
        </w:rPr>
        <w:t>高于公示价格，不得实行不公平、歧视性高价，同一项目收费价格不得高于非参保人员收费</w:t>
      </w:r>
      <w:r>
        <w:rPr>
          <w:rFonts w:hint="eastAsia" w:ascii="仿宋_GB2312" w:hAnsi="仿宋_GB2312" w:cs="仿宋_GB2312"/>
          <w:highlight w:val="none"/>
          <w:lang w:val="en-US" w:eastAsia="zh-CN"/>
        </w:rPr>
        <w:t>价格</w:t>
      </w:r>
      <w:r>
        <w:rPr>
          <w:rFonts w:hint="eastAsia" w:ascii="仿宋_GB2312" w:hAnsi="仿宋_GB2312" w:cs="仿宋_GB2312"/>
          <w:highlight w:val="none"/>
          <w:lang w:eastAsia="zh-CN"/>
        </w:rPr>
        <w:t>。</w:t>
      </w:r>
    </w:p>
    <w:p w14:paraId="709D20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定点长护服务机构承担机构护理服务的，应当在相对独立区域设置有明显标志的长期护理服务专区（病房），并在长期护理服务专区（病房）提供24小时无间断服务；提供居家护理、社区护理服务的，应当按规定定期上门提供护理服务。参保人在非定点长护服务机构及非长期护理服务专区（病房）发生的相关护理服务费用，长期护理保险基金不予支付。</w:t>
      </w:r>
    </w:p>
    <w:p w14:paraId="1EB3F4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第二十七条 </w:t>
      </w:r>
      <w:r>
        <w:rPr>
          <w:rFonts w:hint="eastAsia" w:ascii="仿宋_GB2312" w:hAnsi="仿宋_GB2312" w:cs="仿宋_GB2312"/>
          <w:highlight w:val="none"/>
          <w:lang w:val="en-US" w:eastAsia="zh-CN"/>
        </w:rPr>
        <w:t>定点长护服务机构的名称、法定代表人、主要负责人、注册地址、银行账户、服务类型等信息发生变更时，应自变更之日起30个工作日内向医保经办机构备案。变更后不符合本管理办法规定条件的，医保经办机构应解除协议。定点长护服务机构因违法违规被调查、处理期间不得申请变更信息。</w:t>
      </w:r>
    </w:p>
    <w:p w14:paraId="1891BA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b w:val="0"/>
          <w:bCs w:val="0"/>
          <w:highlight w:val="none"/>
          <w:lang w:val="en-US" w:eastAsia="zh-CN"/>
        </w:rPr>
      </w:pPr>
      <w:r>
        <w:rPr>
          <w:rFonts w:hint="eastAsia" w:ascii="仿宋_GB2312" w:hAnsi="仿宋_GB2312" w:cs="仿宋_GB2312"/>
          <w:b/>
          <w:bCs/>
          <w:highlight w:val="none"/>
          <w:lang w:val="en-US" w:eastAsia="zh-CN"/>
        </w:rPr>
        <w:t xml:space="preserve">第二十八条 </w:t>
      </w:r>
      <w:r>
        <w:rPr>
          <w:rFonts w:hint="eastAsia" w:ascii="仿宋_GB2312" w:hAnsi="仿宋_GB2312" w:cs="仿宋_GB2312"/>
          <w:b w:val="0"/>
          <w:bCs w:val="0"/>
          <w:highlight w:val="none"/>
          <w:lang w:val="en-US" w:eastAsia="zh-CN"/>
        </w:rPr>
        <w:t>定点长护服务机构应当配合医疗保障部门做好长期护理服务价格、用量等监测工作</w:t>
      </w:r>
      <w:r>
        <w:rPr>
          <w:rFonts w:hint="eastAsia" w:ascii="仿宋_GB2312" w:hAnsi="仿宋_GB2312" w:cs="仿宋_GB2312"/>
          <w:highlight w:val="none"/>
          <w:lang w:val="en-US" w:eastAsia="zh-CN"/>
        </w:rPr>
        <w:t>；</w:t>
      </w:r>
      <w:r>
        <w:rPr>
          <w:rFonts w:hint="eastAsia" w:ascii="仿宋_GB2312" w:hAnsi="仿宋_GB2312" w:cs="仿宋_GB2312"/>
          <w:b w:val="0"/>
          <w:bCs w:val="0"/>
          <w:highlight w:val="none"/>
          <w:lang w:val="en-US" w:eastAsia="zh-CN"/>
        </w:rPr>
        <w:t>应当参加医疗保障行政部门或者医疗保障经办机构组织的长期护理保险相关宣传和培训。</w:t>
      </w:r>
    </w:p>
    <w:p w14:paraId="11D33F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b w:val="0"/>
          <w:bCs w:val="0"/>
          <w:highlight w:val="none"/>
          <w:lang w:val="en-US" w:eastAsia="zh-CN"/>
        </w:rPr>
      </w:pPr>
      <w:r>
        <w:rPr>
          <w:rFonts w:hint="eastAsia" w:ascii="仿宋_GB2312" w:hAnsi="仿宋_GB2312" w:cs="仿宋_GB2312"/>
          <w:b/>
          <w:bCs/>
          <w:highlight w:val="none"/>
          <w:lang w:val="en-US" w:eastAsia="zh-CN"/>
        </w:rPr>
        <w:t xml:space="preserve">第二十九条 </w:t>
      </w:r>
      <w:r>
        <w:rPr>
          <w:rFonts w:hint="eastAsia" w:ascii="仿宋_GB2312" w:hAnsi="仿宋_GB2312" w:cs="仿宋_GB2312"/>
          <w:b w:val="0"/>
          <w:bCs w:val="0"/>
          <w:highlight w:val="none"/>
          <w:lang w:val="en-US" w:eastAsia="zh-CN"/>
        </w:rPr>
        <w:t>定点长护服务机构应当按规定向所在</w:t>
      </w:r>
      <w:r>
        <w:rPr>
          <w:rFonts w:hint="eastAsia" w:ascii="仿宋_GB2312" w:hAnsi="仿宋_GB2312" w:eastAsia="仿宋_GB2312" w:cs="仿宋_GB2312"/>
          <w:color w:val="auto"/>
          <w:kern w:val="0"/>
          <w:sz w:val="32"/>
          <w:szCs w:val="32"/>
          <w:highlight w:val="none"/>
          <w:shd w:val="clear" w:color="auto" w:fill="FFFFFF"/>
          <w:lang w:val="en-US" w:eastAsia="zh-CN" w:bidi="ar"/>
        </w:rPr>
        <w:t>县（市、区）</w:t>
      </w:r>
      <w:r>
        <w:rPr>
          <w:rFonts w:hint="eastAsia" w:ascii="仿宋_GB2312" w:hAnsi="仿宋_GB2312" w:cs="仿宋_GB2312"/>
          <w:b w:val="0"/>
          <w:bCs w:val="0"/>
          <w:highlight w:val="none"/>
          <w:lang w:val="en-US" w:eastAsia="zh-CN"/>
        </w:rPr>
        <w:t>医疗保障经办机构据实传送长期护理保险相关全量数据信息，并动态更新数据，确保真实准确。</w:t>
      </w:r>
    </w:p>
    <w:p w14:paraId="3EEA70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第三十条 </w:t>
      </w:r>
      <w:r>
        <w:rPr>
          <w:rFonts w:hint="eastAsia" w:ascii="仿宋_GB2312" w:hAnsi="仿宋_GB2312" w:cs="仿宋_GB2312"/>
          <w:highlight w:val="none"/>
          <w:lang w:val="en-US" w:eastAsia="zh-CN"/>
        </w:rPr>
        <w:t>参保人因病情需要转至非长期护理服务专区（病房）治疗的，定点长护服务机构应当暂停其长期护理保险待遇享受，并于2个工作日内向经办机构申请备案；待病情稳定并转入长期护理服务专区（病房），经申请完成备案后，恢复长期护理保险待遇。参保人员发生出国（境）或者死亡情形的，定点长护服务机构应当暂停或者终止该参保人员的长期护理服务，并将相关信息向经办机构报备。</w:t>
      </w:r>
    </w:p>
    <w:p w14:paraId="102AE5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2328A85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第四章 协议管理</w:t>
      </w:r>
    </w:p>
    <w:p w14:paraId="7171F2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第三十一条 </w:t>
      </w:r>
      <w:r>
        <w:rPr>
          <w:rFonts w:hint="eastAsia" w:ascii="仿宋_GB2312" w:hAnsi="仿宋_GB2312" w:cs="仿宋_GB2312"/>
          <w:highlight w:val="none"/>
          <w:lang w:val="en-US" w:eastAsia="zh-CN"/>
        </w:rPr>
        <w:t>协议中止是指经办机构与定点长护服务机构暂停履行长护协议约定，中止期间发生的长期护理保险费用不予结算。中止时间原则上不超过6个月。定点长护服务机构有下列情形之一的，医疗保障经办机构应当中止协议：</w:t>
      </w:r>
    </w:p>
    <w:p w14:paraId="782507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（一）服务质量检查不合格，责令限期整改不到位的；</w:t>
      </w:r>
    </w:p>
    <w:p w14:paraId="47F313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（二）护理服务人员不足或关键人员变动，导致服务能力暂时无法满足协议要求的；</w:t>
      </w:r>
    </w:p>
    <w:p w14:paraId="0C19973D">
      <w:pPr>
        <w:keepNext w:val="0"/>
        <w:keepLines w:val="0"/>
        <w:pageBreakBefore w:val="0"/>
        <w:widowControl w:val="0"/>
        <w:kinsoku/>
        <w:wordWrap/>
        <w:overflowPunct/>
        <w:topLinePunct w:val="0"/>
        <w:autoSpaceDE/>
        <w:autoSpaceDN/>
        <w:bidi w:val="0"/>
        <w:adjustRightInd/>
        <w:snapToGrid/>
        <w:spacing w:line="560" w:lineRule="exact"/>
        <w:ind w:left="640" w:leftChars="200" w:firstLine="0" w:firstLineChars="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（三）重大信息发生变更且未在规定时限内提出变更申请；</w:t>
      </w:r>
    </w:p>
    <w:p w14:paraId="06737E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（四）未按规定向医疗保障行政部门或者经办机构提供所需信息或者提供的信息不真实；</w:t>
      </w:r>
    </w:p>
    <w:p w14:paraId="3DADED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（五）未按规定及时、完整提供护理服务记录的；</w:t>
      </w:r>
    </w:p>
    <w:p w14:paraId="408E3B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（六）对长期护理保险基金安全或者参保人员权益可能造成重大风险；</w:t>
      </w:r>
    </w:p>
    <w:p w14:paraId="23DA82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（七）未完全履行协议被要求限期整改，未能在期限内完成整改且经两次以上约谈仍不能完成整改；</w:t>
      </w:r>
    </w:p>
    <w:p w14:paraId="3C0E1F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（八）其他违反协议约定，情节较轻，尚不足以解除协议的情形；</w:t>
      </w:r>
    </w:p>
    <w:p w14:paraId="23E881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（九）法律法规和规章规定的应当中止的其他情形。</w:t>
      </w:r>
    </w:p>
    <w:p w14:paraId="36CB88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第三十二条 </w:t>
      </w:r>
      <w:r>
        <w:rPr>
          <w:rFonts w:hint="eastAsia" w:ascii="仿宋_GB2312" w:hAnsi="仿宋_GB2312" w:cs="仿宋_GB2312"/>
          <w:highlight w:val="none"/>
          <w:lang w:val="en-US" w:eastAsia="zh-CN"/>
        </w:rPr>
        <w:t>定点长护服务机构有下列情形之一的，服务协议自动终止：</w:t>
      </w:r>
    </w:p>
    <w:p w14:paraId="0C46435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（一）定点长护服务机构注册地址跨市发生变化的；</w:t>
      </w:r>
    </w:p>
    <w:p w14:paraId="4D0D84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（二）定点长护服务机构登记证书、执业许可证照被主管部门注销、吊销或失效的；</w:t>
      </w:r>
    </w:p>
    <w:p w14:paraId="7454DC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（三）定点长护服务机构自愿申请终止协议，并经医疗保障经办机构同意的。</w:t>
      </w:r>
    </w:p>
    <w:p w14:paraId="1E3850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因前述情形终止协议后，若需重新成为定点长护服务机构，应按照本办法规定程序重新申请。</w:t>
      </w:r>
    </w:p>
    <w:p w14:paraId="509D24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第三十三条 </w:t>
      </w:r>
      <w:r>
        <w:rPr>
          <w:rFonts w:hint="eastAsia" w:ascii="仿宋_GB2312" w:hAnsi="仿宋_GB2312" w:cs="仿宋_GB2312"/>
          <w:highlight w:val="none"/>
          <w:lang w:val="en-US" w:eastAsia="zh-CN"/>
        </w:rPr>
        <w:t>定点长护服务机构有以下情形之一的，医疗保障经办机构应当解除长护协议并向社会公布，3年内不再受理其长护定点申请：</w:t>
      </w:r>
    </w:p>
    <w:p w14:paraId="1110BE1E">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（一）超出执业许可范围或者地址开展长护服务； </w:t>
      </w:r>
    </w:p>
    <w:p w14:paraId="36424C0D">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（二）医疗机构执业许可证、诊所备案凭证、养老机构登记证书、备案回执、营业执照等资质文件注销、被吊销、15年检不合格、过期失效等，或者营业执照变更后经营范围不符合本办法第六条规定的条件； </w:t>
      </w:r>
    </w:p>
    <w:p w14:paraId="28044A8B">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（三）因买卖、转让、重组等情形导致经营主体发生重大变化，严重影响协议履行； </w:t>
      </w:r>
    </w:p>
    <w:p w14:paraId="5BA95A7B">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（四）法定代表人、主要负责人或者实际控制人不能履行协议，或者有严重违法失信行为； </w:t>
      </w:r>
    </w:p>
    <w:p w14:paraId="1ABA5C75">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（五）以弄虚作假等不正当手段申请取得定点管理资质或资格； </w:t>
      </w:r>
    </w:p>
    <w:p w14:paraId="61D9E991">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（六）12 个月内累计2次中止协议，或者中止协议期间 </w:t>
      </w:r>
    </w:p>
    <w:p w14:paraId="159D9B1E">
      <w:pPr>
        <w:keepNext w:val="0"/>
        <w:keepLines w:val="0"/>
        <w:widowControl w:val="0"/>
        <w:suppressLineNumbers w:val="0"/>
        <w:spacing w:line="560" w:lineRule="exact"/>
        <w:ind w:firstLine="0" w:firstLineChars="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整改不到位； </w:t>
      </w:r>
    </w:p>
    <w:p w14:paraId="4A34D288">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（七）以虚假宣传、利益诱导等手段进行服务促销且情节恶劣； </w:t>
      </w:r>
    </w:p>
    <w:p w14:paraId="33E68AEF">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（八）拒绝、阻挠监督检查或者因违反长期护理保险政策规定造成恶劣影响被医疗保障、审计等部门通报； </w:t>
      </w:r>
    </w:p>
    <w:p w14:paraId="7B0D84E2">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（九）以伪造或者变造的护理服务记录、账目、费用单据、上传数据、会计凭证、电子信息等有关资料，进行长期护理保险费用结算； </w:t>
      </w:r>
    </w:p>
    <w:p w14:paraId="1F46E25F">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（十）诱导、协助、串通他人冒名提供虚假证明材料进行长期护理保险费用结算； </w:t>
      </w:r>
    </w:p>
    <w:p w14:paraId="50F20D4E">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 xml:space="preserve">（十一）为其他长护服务机构或者其服务对象提供长期护理保险费用结算，出借长期护理保险相关资质或者资格； </w:t>
      </w:r>
    </w:p>
    <w:p w14:paraId="7A46DF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eastAsia="仿宋_GB2312" w:cs="仿宋_GB2312"/>
          <w:kern w:val="2"/>
          <w:sz w:val="32"/>
          <w:szCs w:val="24"/>
          <w:highlight w:val="none"/>
          <w:lang w:val="en-US" w:eastAsia="zh-CN" w:bidi="ar"/>
        </w:rPr>
        <w:t>（十二）</w:t>
      </w:r>
      <w:r>
        <w:rPr>
          <w:rFonts w:hint="eastAsia" w:ascii="仿宋_GB2312" w:hAnsi="仿宋_GB2312" w:cs="仿宋_GB2312"/>
          <w:highlight w:val="none"/>
          <w:lang w:val="en-US" w:eastAsia="zh-CN"/>
        </w:rPr>
        <w:t>以欺诈、伪造证明材料或其他手段骗取长护险护理服务费用的；</w:t>
      </w:r>
    </w:p>
    <w:p w14:paraId="05CE25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（十三）弄虚作假，提供虚假护理服务记录，或授意、串通参保人员提供虚假材料，骗取长护险待遇的；</w:t>
      </w:r>
    </w:p>
    <w:p w14:paraId="404262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（十四）故意或重大过失泄露参保人隐私，造成严重后果的；</w:t>
      </w:r>
    </w:p>
    <w:p w14:paraId="59687C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（十五）协议中止期满，经评估仍不符合协议要求的；</w:t>
      </w:r>
    </w:p>
    <w:p w14:paraId="21C6BB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（十六）将长护险服务包进行拆分、重复申报，或将非长护险服务项目纳入结算的；将长期护理保险基金不予支付的费用纳入结算范围的；</w:t>
      </w:r>
    </w:p>
    <w:p w14:paraId="31CF9278">
      <w:pPr>
        <w:keepNext w:val="0"/>
        <w:keepLines w:val="0"/>
        <w:widowControl w:val="0"/>
        <w:suppressLineNumbers w:val="0"/>
        <w:spacing w:line="560" w:lineRule="exact"/>
        <w:ind w:firstLine="640" w:firstLineChars="200"/>
        <w:jc w:val="left"/>
        <w:rPr>
          <w:rFonts w:hint="eastAsia" w:ascii="仿宋_GB2312" w:hAnsi="仿宋_GB2312" w:cs="仿宋_GB2312"/>
          <w:highlight w:val="none"/>
        </w:rPr>
      </w:pPr>
      <w:r>
        <w:rPr>
          <w:rFonts w:hint="eastAsia" w:ascii="仿宋_GB2312" w:hAnsi="仿宋_GB2312" w:eastAsia="仿宋_GB2312" w:cs="仿宋_GB2312"/>
          <w:kern w:val="2"/>
          <w:sz w:val="32"/>
          <w:szCs w:val="24"/>
          <w:highlight w:val="none"/>
          <w:lang w:val="en-US" w:eastAsia="zh-CN" w:bidi="ar"/>
        </w:rPr>
        <w:t>（十</w:t>
      </w:r>
      <w:r>
        <w:rPr>
          <w:rFonts w:hint="eastAsia" w:ascii="仿宋_GB2312" w:hAnsi="仿宋_GB2312" w:cs="仿宋_GB2312"/>
          <w:kern w:val="2"/>
          <w:sz w:val="32"/>
          <w:szCs w:val="24"/>
          <w:highlight w:val="none"/>
          <w:lang w:val="en-US" w:eastAsia="zh-CN" w:bidi="ar"/>
        </w:rPr>
        <w:t>七</w:t>
      </w:r>
      <w:r>
        <w:rPr>
          <w:rFonts w:hint="eastAsia" w:ascii="仿宋_GB2312" w:hAnsi="仿宋_GB2312" w:eastAsia="仿宋_GB2312" w:cs="仿宋_GB2312"/>
          <w:kern w:val="2"/>
          <w:sz w:val="32"/>
          <w:szCs w:val="24"/>
          <w:highlight w:val="none"/>
          <w:lang w:val="en-US" w:eastAsia="zh-CN" w:bidi="ar"/>
        </w:rPr>
        <w:t xml:space="preserve">）自愿提出解除协议并经协商一致； </w:t>
      </w:r>
    </w:p>
    <w:p w14:paraId="4CC1C8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cs="仿宋_GB2312"/>
          <w:highlight w:val="none"/>
          <w:lang w:val="en-US" w:eastAsia="zh-CN"/>
        </w:rPr>
      </w:pPr>
      <w:r>
        <w:rPr>
          <w:rFonts w:hint="eastAsia" w:ascii="仿宋_GB2312" w:hAnsi="仿宋_GB2312" w:eastAsia="仿宋_GB2312" w:cs="仿宋_GB2312"/>
          <w:kern w:val="2"/>
          <w:sz w:val="32"/>
          <w:szCs w:val="24"/>
          <w:highlight w:val="none"/>
          <w:lang w:val="en-US" w:eastAsia="zh-CN" w:bidi="ar"/>
        </w:rPr>
        <w:t>（十</w:t>
      </w:r>
      <w:r>
        <w:rPr>
          <w:rFonts w:hint="eastAsia" w:ascii="仿宋_GB2312" w:hAnsi="仿宋_GB2312" w:cs="仿宋_GB2312"/>
          <w:kern w:val="2"/>
          <w:sz w:val="32"/>
          <w:szCs w:val="24"/>
          <w:highlight w:val="none"/>
          <w:lang w:val="en-US" w:eastAsia="zh-CN" w:bidi="ar"/>
        </w:rPr>
        <w:t>八</w:t>
      </w:r>
      <w:r>
        <w:rPr>
          <w:rFonts w:hint="eastAsia" w:ascii="仿宋_GB2312" w:hAnsi="仿宋_GB2312" w:eastAsia="仿宋_GB2312" w:cs="仿宋_GB2312"/>
          <w:kern w:val="2"/>
          <w:sz w:val="32"/>
          <w:szCs w:val="24"/>
          <w:highlight w:val="none"/>
          <w:lang w:val="en-US" w:eastAsia="zh-CN" w:bidi="ar"/>
        </w:rPr>
        <w:t>）法律法规和规章规定或者协议约定的应当解除的其他情形</w:t>
      </w:r>
      <w:r>
        <w:rPr>
          <w:rFonts w:hint="eastAsia" w:ascii="仿宋_GB2312" w:hAnsi="仿宋_GB2312" w:cs="仿宋_GB2312"/>
          <w:kern w:val="2"/>
          <w:sz w:val="32"/>
          <w:szCs w:val="24"/>
          <w:highlight w:val="none"/>
          <w:lang w:val="en-US" w:eastAsia="zh-CN" w:bidi="ar"/>
        </w:rPr>
        <w:t>。</w:t>
      </w:r>
    </w:p>
    <w:p w14:paraId="76570F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eastAsia="仿宋_GB2312" w:cs="仿宋_GB2312"/>
          <w:kern w:val="2"/>
          <w:sz w:val="32"/>
          <w:szCs w:val="24"/>
          <w:highlight w:val="none"/>
          <w:lang w:val="en-US" w:eastAsia="zh-CN" w:bidi="ar"/>
        </w:rPr>
        <w:t>长护协议解除后产生的长期护理保险费用，长期护理保险基金不再予以结算。</w:t>
      </w:r>
    </w:p>
    <w:p w14:paraId="4AD908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第三十四条 </w:t>
      </w:r>
      <w:r>
        <w:rPr>
          <w:rFonts w:hint="eastAsia" w:ascii="仿宋_GB2312" w:hAnsi="仿宋_GB2312" w:cs="仿宋_GB2312"/>
          <w:highlight w:val="none"/>
          <w:lang w:val="en-US" w:eastAsia="zh-CN"/>
        </w:rPr>
        <w:t>定点长护服务机构及其工作人员、参保人发生违法违规行为造成基金损失的，属于法律法规和规章规定范畴的，依法给予行政处罚。构成犯罪的，由医疗保障行政部门移送司法机关依法追究刑事责任。定点长护服务机构违反评估服务协议的，由医疗保障经办机构按协议约定处理。</w:t>
      </w:r>
    </w:p>
    <w:p w14:paraId="1846BC9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第三十五条 </w:t>
      </w:r>
      <w:r>
        <w:rPr>
          <w:rFonts w:hint="eastAsia" w:ascii="仿宋_GB2312" w:hAnsi="仿宋_GB2312" w:cs="仿宋_GB2312"/>
          <w:highlight w:val="none"/>
          <w:lang w:val="en-US" w:eastAsia="zh-CN"/>
        </w:rPr>
        <w:t>定点长护服务机构法定代表人除因上级机关任免、丧失民事行为能力等原因外发生变更的，应当按照定点流程重新申请定点。</w:t>
      </w:r>
    </w:p>
    <w:p w14:paraId="66EEB9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第三十六条 </w:t>
      </w:r>
      <w:r>
        <w:rPr>
          <w:rFonts w:hint="eastAsia" w:ascii="仿宋_GB2312" w:hAnsi="仿宋_GB2312" w:cs="仿宋_GB2312"/>
          <w:highlight w:val="none"/>
          <w:lang w:val="en-US" w:eastAsia="zh-CN"/>
        </w:rPr>
        <w:t>定点长护服务机构与医疗保障经办机构就协议签订、履行、变更和解除发生争议的，可以自行协商解决或者请求同级医疗保障行政部门协调处理，也可以依法申请行政复议或者提起行政诉讼。</w:t>
      </w:r>
    </w:p>
    <w:p w14:paraId="0C175D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color w:val="auto"/>
          <w:highlight w:val="none"/>
          <w:lang w:val="en-US" w:eastAsia="zh-CN"/>
        </w:rPr>
      </w:pPr>
      <w:r>
        <w:rPr>
          <w:rFonts w:hint="eastAsia" w:ascii="仿宋_GB2312" w:hAnsi="仿宋_GB2312" w:cs="仿宋_GB2312"/>
          <w:b/>
          <w:bCs/>
          <w:highlight w:val="none"/>
          <w:lang w:val="en-US" w:eastAsia="zh-CN"/>
        </w:rPr>
        <w:t>第三十七条</w:t>
      </w:r>
      <w:r>
        <w:rPr>
          <w:rFonts w:hint="eastAsia" w:ascii="仿宋_GB2312" w:hAnsi="仿宋_GB2312" w:cs="仿宋_GB2312"/>
          <w:highlight w:val="none"/>
          <w:lang w:val="en-US" w:eastAsia="zh-CN"/>
        </w:rPr>
        <w:t xml:space="preserve"> 医疗保障经办机构应当将中止、解除协议的定点长护服务机构基本信息及时报同级医疗保障行政部门备案，向社会公布中止、解除协议的定点</w:t>
      </w:r>
      <w:r>
        <w:rPr>
          <w:rFonts w:hint="eastAsia" w:ascii="仿宋_GB2312" w:hAnsi="仿宋_GB2312" w:cs="仿宋_GB2312"/>
          <w:color w:val="auto"/>
          <w:highlight w:val="none"/>
          <w:lang w:val="en-US" w:eastAsia="zh-CN"/>
        </w:rPr>
        <w:t>长护服务机构名单，并督促长护服务机构做好参保人员服务转接工作。解除协议的定点长护服务机构，应当及时撤除定点标识。</w:t>
      </w:r>
    </w:p>
    <w:p w14:paraId="519AB8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10EDFED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第五章 经办服务管理</w:t>
      </w:r>
    </w:p>
    <w:p w14:paraId="3BD92F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第三十八条</w:t>
      </w:r>
      <w:r>
        <w:rPr>
          <w:rFonts w:hint="eastAsia" w:ascii="仿宋_GB2312" w:hAnsi="仿宋_GB2312" w:cs="仿宋_GB2312"/>
          <w:highlight w:val="none"/>
          <w:lang w:val="en-US" w:eastAsia="zh-CN"/>
        </w:rPr>
        <w:t xml:space="preserve"> 医疗保障经办机构具有及时全面掌握定点长护服务机构运行管理情况，从定点长护服务机构获得长期护理保险费用审核、服务质量检查、绩效考核和财务记账等所需材料的权利。</w:t>
      </w:r>
    </w:p>
    <w:p w14:paraId="332E64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第三十九条</w:t>
      </w:r>
      <w:r>
        <w:rPr>
          <w:rFonts w:hint="eastAsia" w:ascii="仿宋_GB2312" w:hAnsi="仿宋_GB2312" w:cs="仿宋_GB2312"/>
          <w:highlight w:val="none"/>
          <w:lang w:val="en-US" w:eastAsia="zh-CN"/>
        </w:rPr>
        <w:t xml:space="preserve"> 医疗保障经办机构应当规范服务管理行为，优化定点申请、综合审核和协议管理等经办管理流程，对定点长护服务机构进行长期护理保险政策、管理制度、支付政策、操作流程等的宣传培训，提供长期护理保险政策和业务的咨询、查询服务，为定点长护服务机构和参保人员提供优质高效的经办服务。</w:t>
      </w:r>
    </w:p>
    <w:p w14:paraId="7462CB1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第四十条</w:t>
      </w:r>
      <w:r>
        <w:rPr>
          <w:rFonts w:hint="eastAsia" w:ascii="仿宋_GB2312" w:hAnsi="仿宋_GB2312" w:cs="仿宋_GB2312"/>
          <w:highlight w:val="none"/>
          <w:lang w:val="en-US" w:eastAsia="zh-CN"/>
        </w:rPr>
        <w:t xml:space="preserve"> 医疗保障经办机构应当建立健全内部控制制度，明确定点长护服务机构确定、费用审核、结算拨付等岗位责任，建立完善风险防控机制。</w:t>
      </w:r>
    </w:p>
    <w:p w14:paraId="0356698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第四十一条</w:t>
      </w:r>
      <w:r>
        <w:rPr>
          <w:rFonts w:hint="eastAsia" w:ascii="仿宋_GB2312" w:hAnsi="仿宋_GB2312" w:cs="仿宋_GB2312"/>
          <w:highlight w:val="none"/>
          <w:lang w:val="en-US" w:eastAsia="zh-CN"/>
        </w:rPr>
        <w:t xml:space="preserve"> 医疗保障经办机构应当落实长期护理保险支付政策，强化长期护理保险基金支出管理，对定点长护服务机构执行长期护理保险政策、履行长护协议、护理服务人员管理、护理行为真实规范等内容进行核查。通过智能审核、实时监控、现场检查等方式及时审核长期护理保险费用，按协议约定及时足额向定点长护服务机构拨付符合规定的长期护理保险费用，费用原则上应当在定点长护服务机构申报后30个工作日内完成拨付。</w:t>
      </w:r>
    </w:p>
    <w:p w14:paraId="13D86F3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第四十条</w:t>
      </w:r>
      <w:r>
        <w:rPr>
          <w:rFonts w:hint="eastAsia" w:ascii="仿宋_GB2312" w:hAnsi="仿宋_GB2312" w:cs="仿宋_GB2312"/>
          <w:highlight w:val="none"/>
          <w:lang w:val="en-US" w:eastAsia="zh-CN"/>
        </w:rPr>
        <w:t xml:space="preserve"> 医疗保障经办机构可预留定点长护服务机构每月应拨费用的5%，作为长护服务质量保证金，并根据该机构年度协议履行情况、考核结果等进行质量保证金年度清算。</w:t>
      </w:r>
    </w:p>
    <w:p w14:paraId="3D47D1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第四十一条</w:t>
      </w:r>
      <w:r>
        <w:rPr>
          <w:rFonts w:hint="eastAsia" w:ascii="仿宋_GB2312" w:hAnsi="仿宋_GB2312" w:cs="仿宋_GB2312"/>
          <w:highlight w:val="none"/>
          <w:lang w:val="en-US" w:eastAsia="zh-CN"/>
        </w:rPr>
        <w:t xml:space="preserve"> 医疗保障经办机构应当对定点长护服务机构开展绩效考核，建立动态管理机制。考核结果与费用拨付、年终清算、质量保证金退还、协议续签等挂钩，考核情况报同级医疗保障行政部门。绩效考核相关规定由市医疗保障经办机构制定实施。</w:t>
      </w:r>
    </w:p>
    <w:p w14:paraId="668158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第四十二条</w:t>
      </w:r>
      <w:r>
        <w:rPr>
          <w:rFonts w:hint="eastAsia" w:ascii="仿宋_GB2312" w:hAnsi="仿宋_GB2312" w:cs="仿宋_GB2312"/>
          <w:highlight w:val="none"/>
          <w:lang w:val="en-US" w:eastAsia="zh-CN"/>
        </w:rPr>
        <w:t xml:space="preserve"> 医疗保障经办机构应当遵守数据信息安全有关法律法规制度，保护参保人员个人信息，确保长期护理保险数据安全。</w:t>
      </w:r>
    </w:p>
    <w:p w14:paraId="3FFBF5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第四十四条</w:t>
      </w:r>
      <w:r>
        <w:rPr>
          <w:rFonts w:hint="eastAsia" w:ascii="仿宋_GB2312" w:hAnsi="仿宋_GB2312" w:cs="仿宋_GB2312"/>
          <w:highlight w:val="none"/>
          <w:lang w:val="en-US" w:eastAsia="zh-CN"/>
        </w:rPr>
        <w:t xml:space="preserve"> 医疗保障经办机构可采取电话回访、智能审核、实时监控等方式开展长护服务费用审核核查工作，也可委托有资质的第三方开展审计和检查工作。定点长护服务机构及相关人员应当予以配合，并应当根据需要提供各类相关材料。定点长护服务机构涉嫌违反长期护理保险政策法规、长护协议规定的，在立案调查及处理期间，经办机构可暂停拨付长期护理保险费用。</w:t>
      </w:r>
    </w:p>
    <w:p w14:paraId="4AB436D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第四十五条</w:t>
      </w:r>
      <w:r>
        <w:rPr>
          <w:rFonts w:hint="eastAsia" w:ascii="仿宋_GB2312" w:hAnsi="仿宋_GB2312" w:cs="仿宋_GB2312"/>
          <w:highlight w:val="none"/>
          <w:lang w:val="en-US" w:eastAsia="zh-CN"/>
        </w:rPr>
        <w:t xml:space="preserve"> 医疗保障经办机构发现定点长护服务机构存在违反协议约定情形的，可相应采取以下处理方式：</w:t>
      </w:r>
    </w:p>
    <w:p w14:paraId="59F07D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（一）公开通报；</w:t>
      </w:r>
    </w:p>
    <w:p w14:paraId="6DA888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（二）约谈定点长护服务机构法定代表人、主要负责人或者实际控制人；</w:t>
      </w:r>
    </w:p>
    <w:p w14:paraId="38EA1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（三）暂停新增长期护理保险服务对象；</w:t>
      </w:r>
    </w:p>
    <w:p w14:paraId="4AA43FD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（四）暂停或不予拨付长期护理保险费用；</w:t>
      </w:r>
    </w:p>
    <w:p w14:paraId="198514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（五）追回已支付的违规长期护理保险费用；</w:t>
      </w:r>
    </w:p>
    <w:p w14:paraId="11854C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（六）要求定点长护服务机构按照协议约定支付违约金；</w:t>
      </w:r>
    </w:p>
    <w:p w14:paraId="2EEDAC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（七）中止相关责任方（人员）提供涉及长期护理保险基金使用的服务；</w:t>
      </w:r>
    </w:p>
    <w:p w14:paraId="5D0D4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（八）中止或者解除长护协议。</w:t>
      </w:r>
    </w:p>
    <w:p w14:paraId="6CDCC5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第四十六条</w:t>
      </w:r>
      <w:r>
        <w:rPr>
          <w:rFonts w:hint="eastAsia" w:ascii="仿宋_GB2312" w:hAnsi="仿宋_GB2312" w:cs="仿宋_GB2312"/>
          <w:highlight w:val="none"/>
          <w:lang w:val="en-US" w:eastAsia="zh-CN"/>
        </w:rPr>
        <w:t xml:space="preserve"> 医疗保障经办机构违反长护协议的，定点长护服务机构有权要求纠正，或者提请同级医疗保障行政部门协调处理、督促整改，也可以依法申请行政复议或者提起行政诉讼。医疗保障行政部门发现医疗保障经办机构存在违反长护协议的，可视情节相应采取以下处理方式：约谈主要负责人、限期整改、通报批评，对相关责任人员依法依规给予处分。医疗保障行政部门发现经办机构违反相关法律法规和规章的，依法依规进行处理。</w:t>
      </w:r>
    </w:p>
    <w:p w14:paraId="0DDFA9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447EAE2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第六章 监督管理</w:t>
      </w:r>
    </w:p>
    <w:p w14:paraId="04F4469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第四十七条 </w:t>
      </w:r>
      <w:r>
        <w:rPr>
          <w:rFonts w:hint="eastAsia" w:ascii="仿宋_GB2312" w:hAnsi="仿宋_GB2312" w:cs="仿宋_GB2312"/>
          <w:highlight w:val="none"/>
          <w:lang w:val="en-US" w:eastAsia="zh-CN"/>
        </w:rPr>
        <w:t>医疗保障行政部门对医疗保障经办机构定点申请受理、审核、协议签订、履行、解除等情况和长护护理保险费用审核和拨付、内部控制制度建设等进行监督。</w:t>
      </w:r>
    </w:p>
    <w:p w14:paraId="787D17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第四十八条 </w:t>
      </w:r>
      <w:r>
        <w:rPr>
          <w:rFonts w:hint="eastAsia" w:ascii="仿宋_GB2312" w:hAnsi="仿宋_GB2312" w:cs="仿宋_GB2312"/>
          <w:highlight w:val="none"/>
          <w:lang w:val="en-US" w:eastAsia="zh-CN"/>
        </w:rPr>
        <w:t>医疗保障行政部门依法依规通过实地检查、抽查、智能监控、大数据分析等方式对定点长护服务机构协议履行情况、长期护理保险基金使用情况、长护服务行为、购买涉及长期护理保险基金使用的第三方服务等进行监督。</w:t>
      </w:r>
    </w:p>
    <w:p w14:paraId="4A84ADE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第四十九条 </w:t>
      </w:r>
      <w:r>
        <w:rPr>
          <w:rFonts w:hint="eastAsia" w:ascii="仿宋_GB2312" w:hAnsi="仿宋_GB2312" w:cs="仿宋_GB2312"/>
          <w:highlight w:val="none"/>
          <w:lang w:val="en-US" w:eastAsia="zh-CN"/>
        </w:rPr>
        <w:t>医疗保障行政部门根据需要，可以联合相关部门开展联合执法检查，通过片区监管力量，形成监管合力，协调解决监管难点问题。</w:t>
      </w:r>
    </w:p>
    <w:p w14:paraId="16C1AB2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第五十条 </w:t>
      </w:r>
      <w:r>
        <w:rPr>
          <w:rFonts w:hint="eastAsia" w:ascii="仿宋_GB2312" w:hAnsi="仿宋_GB2312" w:cs="仿宋_GB2312"/>
          <w:highlight w:val="none"/>
          <w:lang w:val="en-US" w:eastAsia="zh-CN"/>
        </w:rPr>
        <w:t>县（市、区）医疗保障</w:t>
      </w:r>
      <w:r>
        <w:rPr>
          <w:rFonts w:hint="eastAsia" w:ascii="仿宋_GB2312" w:hAnsi="仿宋_GB2312" w:cs="仿宋_GB2312"/>
          <w:highlight w:val="none"/>
          <w:lang w:eastAsia="zh-CN"/>
        </w:rPr>
        <w:t>经办机构</w:t>
      </w:r>
      <w:r>
        <w:rPr>
          <w:rFonts w:hint="eastAsia" w:ascii="仿宋_GB2312" w:hAnsi="仿宋_GB2312" w:cs="仿宋_GB2312"/>
          <w:highlight w:val="none"/>
          <w:lang w:val="en-US" w:eastAsia="zh-CN"/>
        </w:rPr>
        <w:t>发现定点长护服务机构存在违约行为，应及时按协议予以处理；发现违法违规行为的，依法作出行政处罚。</w:t>
      </w:r>
    </w:p>
    <w:p w14:paraId="7F3F689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第五十一条 </w:t>
      </w:r>
      <w:r>
        <w:rPr>
          <w:rFonts w:hint="eastAsia" w:ascii="仿宋_GB2312" w:hAnsi="仿宋_GB2312" w:cs="仿宋_GB2312"/>
          <w:highlight w:val="none"/>
          <w:lang w:eastAsia="zh-CN"/>
        </w:rPr>
        <w:t>医疗保障经办机构作出终止或者解除协议，对定点长护服务机构相关责任方（人员）暂停长期护理保险基金支付资格或</w:t>
      </w:r>
      <w:r>
        <w:rPr>
          <w:rFonts w:hint="eastAsia" w:ascii="仿宋_GB2312" w:hAnsi="仿宋_GB2312" w:cs="仿宋_GB2312"/>
          <w:highlight w:val="none"/>
          <w:lang w:val="en-US" w:eastAsia="zh-CN"/>
        </w:rPr>
        <w:t>者</w:t>
      </w:r>
      <w:r>
        <w:rPr>
          <w:rFonts w:hint="eastAsia" w:ascii="仿宋_GB2312" w:hAnsi="仿宋_GB2312" w:cs="仿宋_GB2312"/>
          <w:highlight w:val="none"/>
          <w:lang w:eastAsia="zh-CN"/>
        </w:rPr>
        <w:t>限制一定期限从事长期护理保险服务</w:t>
      </w:r>
      <w:r>
        <w:rPr>
          <w:rFonts w:hint="eastAsia" w:ascii="仿宋_GB2312" w:hAnsi="仿宋_GB2312" w:cs="仿宋_GB2312"/>
          <w:highlight w:val="none"/>
          <w:lang w:val="en-US" w:eastAsia="zh-CN"/>
        </w:rPr>
        <w:t>等</w:t>
      </w:r>
      <w:r>
        <w:rPr>
          <w:rFonts w:hint="eastAsia" w:ascii="仿宋_GB2312" w:hAnsi="仿宋_GB2312" w:cs="仿宋_GB2312"/>
          <w:highlight w:val="none"/>
          <w:lang w:eastAsia="zh-CN"/>
        </w:rPr>
        <w:t>处理时，应当及时报告同级医疗保障行政部门。</w:t>
      </w:r>
    </w:p>
    <w:p w14:paraId="32265AC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第五十二条 </w:t>
      </w:r>
      <w:r>
        <w:rPr>
          <w:rFonts w:hint="eastAsia" w:ascii="仿宋_GB2312" w:hAnsi="仿宋_GB2312" w:cs="仿宋_GB2312"/>
          <w:highlight w:val="none"/>
          <w:lang w:val="en-US" w:eastAsia="zh-CN"/>
        </w:rPr>
        <w:t>建立健全社会监督机制。畅通投诉举报渠道，公开举报电话和邮箱。可通过满意度调查、第三方评价、聘请社会监督员、信用管理等方式对定点长护服务机构进行社会监督。</w:t>
      </w:r>
    </w:p>
    <w:p w14:paraId="7CAA7F4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p>
    <w:p w14:paraId="5EE582A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微软雅黑" w:hAnsi="微软雅黑" w:eastAsia="微软雅黑" w:cs="微软雅黑"/>
          <w:highlight w:val="none"/>
          <w:lang w:val="en-US" w:eastAsia="zh-CN"/>
        </w:rPr>
      </w:pPr>
      <w:r>
        <w:rPr>
          <w:rFonts w:hint="eastAsia" w:ascii="微软雅黑" w:hAnsi="微软雅黑" w:eastAsia="微软雅黑" w:cs="微软雅黑"/>
          <w:highlight w:val="none"/>
          <w:lang w:val="en-US" w:eastAsia="zh-CN"/>
        </w:rPr>
        <w:t>第七章 附则</w:t>
      </w:r>
    </w:p>
    <w:p w14:paraId="733AEAA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第五十三条 </w:t>
      </w:r>
      <w:r>
        <w:rPr>
          <w:rFonts w:hint="eastAsia" w:ascii="仿宋_GB2312" w:hAnsi="仿宋_GB2312" w:cs="仿宋_GB2312"/>
          <w:highlight w:val="none"/>
          <w:lang w:val="en-US" w:eastAsia="zh-CN"/>
        </w:rPr>
        <w:t>定点长护服务机构应按规定接入并使用国家医疗保障信息平台长期护理保险相关功能模块，实现服务申请、服务实施、费用结算等全过程信息化管理。鼓励护理机构运用智能化服务工具，提升服务工作的规范性和效率。</w:t>
      </w:r>
    </w:p>
    <w:p w14:paraId="7BB9B5E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第五十四条 </w:t>
      </w:r>
      <w:r>
        <w:rPr>
          <w:rFonts w:hint="eastAsia" w:ascii="仿宋_GB2312" w:hAnsi="仿宋_GB2312" w:cs="仿宋_GB2312"/>
          <w:highlight w:val="none"/>
          <w:lang w:val="en-US" w:eastAsia="zh-CN"/>
        </w:rPr>
        <w:t>已纳入定点管理的机构护理服务机构申请开展居家护理服务的，应按居家护理服务条件进行备案申请，经审核后纳入相应服务类型管理。</w:t>
      </w:r>
    </w:p>
    <w:p w14:paraId="36F2CE9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第五十五条 </w:t>
      </w:r>
      <w:r>
        <w:rPr>
          <w:rFonts w:hint="eastAsia" w:ascii="仿宋_GB2312" w:hAnsi="仿宋_GB2312" w:cs="仿宋_GB2312"/>
          <w:highlight w:val="none"/>
          <w:lang w:val="en-US" w:eastAsia="zh-CN"/>
        </w:rPr>
        <w:t>依托医疗机构、养老机构、劳动能力鉴定机构等内设部门开展护理服务工作的，对该部门及其所属机构的管理，适用本办法全部规定。该内设部门应当具备独立开展护理服务的固定场所、专职人员及管理制度，并作为签约主体与医保经办机构签订服务协议。</w:t>
      </w:r>
    </w:p>
    <w:p w14:paraId="568CAF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第五十六条 </w:t>
      </w:r>
      <w:r>
        <w:rPr>
          <w:rFonts w:hint="eastAsia" w:ascii="仿宋_GB2312" w:hAnsi="仿宋_GB2312" w:cs="仿宋_GB2312"/>
          <w:highlight w:val="none"/>
          <w:lang w:val="en-US" w:eastAsia="zh-CN"/>
        </w:rPr>
        <w:t>鼓励现有的基层医疗机构（或养老机构、医养结合机构）设立长护定点服务机构，根据服务需要，逐步按政府采购法招标采购第三方长护定点服务机构。</w:t>
      </w:r>
    </w:p>
    <w:p w14:paraId="0BA11F2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cs="仿宋_GB2312"/>
          <w:highlight w:val="none"/>
          <w:lang w:val="en-US" w:eastAsia="zh-CN"/>
        </w:rPr>
      </w:pPr>
      <w:r>
        <w:rPr>
          <w:rFonts w:hint="eastAsia" w:ascii="仿宋_GB2312" w:hAnsi="仿宋_GB2312" w:cs="仿宋_GB2312"/>
          <w:b/>
          <w:bCs/>
          <w:highlight w:val="none"/>
          <w:lang w:val="en-US" w:eastAsia="zh-CN"/>
        </w:rPr>
        <w:t xml:space="preserve">第五十七条 </w:t>
      </w:r>
      <w:r>
        <w:rPr>
          <w:rFonts w:hint="eastAsia" w:ascii="仿宋_GB2312" w:hAnsi="仿宋_GB2312" w:cs="仿宋_GB2312"/>
          <w:highlight w:val="none"/>
          <w:lang w:val="en-US" w:eastAsia="zh-CN"/>
        </w:rPr>
        <w:t>本实施细则由赣州市医疗保障局负责解释，自2026年10月1日起施行，试行期2年。以往规定与本实施细则不一致的，以本实施细则为准。国家、省、市有新规定的，从其规定。</w:t>
      </w:r>
    </w:p>
    <w:p w14:paraId="4D4A01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7081DB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r>
        <w:rPr>
          <w:rFonts w:hint="eastAsia" w:ascii="仿宋_GB2312" w:hAnsi="仿宋_GB2312" w:cs="仿宋_GB2312"/>
          <w:highlight w:val="none"/>
          <w:lang w:val="en-US" w:eastAsia="zh-CN"/>
        </w:rPr>
        <w:t>附件：赣州市长期护理保险定点护理服务机构申请表</w:t>
      </w:r>
    </w:p>
    <w:p w14:paraId="2853EE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0630F1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2665BA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675345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149B7E76">
      <w:pPr>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br w:type="page"/>
      </w:r>
    </w:p>
    <w:p w14:paraId="53995EDD">
      <w:pPr>
        <w:jc w:val="left"/>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附件</w:t>
      </w:r>
    </w:p>
    <w:p w14:paraId="7F062D98">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赣州市长期护理保险</w:t>
      </w:r>
    </w:p>
    <w:p w14:paraId="3145B097">
      <w:pPr>
        <w:jc w:val="center"/>
        <w:rPr>
          <w:rFonts w:hint="eastAsia" w:ascii="宋体" w:hAnsi="宋体" w:eastAsia="方正小标宋简体" w:cs="方正小标宋简体"/>
          <w:b w:val="0"/>
          <w:bCs/>
          <w:color w:val="auto"/>
          <w:sz w:val="36"/>
          <w:szCs w:val="36"/>
          <w:lang w:val="en-US" w:eastAsia="zh-CN"/>
        </w:rPr>
      </w:pPr>
      <w:r>
        <w:rPr>
          <w:rFonts w:hint="eastAsia" w:ascii="宋体" w:hAnsi="宋体" w:eastAsia="方正小标宋简体" w:cs="方正小标宋简体"/>
          <w:b w:val="0"/>
          <w:bCs/>
          <w:color w:val="auto"/>
          <w:sz w:val="36"/>
          <w:szCs w:val="36"/>
          <w:lang w:val="en-US" w:eastAsia="zh-CN"/>
        </w:rPr>
        <w:t>定点护理服务机构申请表</w:t>
      </w:r>
    </w:p>
    <w:p w14:paraId="656C15B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Theme="minorEastAsia" w:cstheme="minorEastAsia"/>
          <w:spacing w:val="-13"/>
          <w:sz w:val="24"/>
          <w:szCs w:val="24"/>
          <w:lang w:val="en-US" w:eastAsia="zh-CN"/>
        </w:rPr>
      </w:pPr>
    </w:p>
    <w:p w14:paraId="59EF7D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宋体" w:hAnsi="宋体"/>
          <w:sz w:val="24"/>
          <w:szCs w:val="32"/>
          <w:lang w:val="en-US" w:eastAsia="zh-CN"/>
        </w:rPr>
      </w:pPr>
      <w:r>
        <w:rPr>
          <w:rFonts w:hint="eastAsia" w:ascii="宋体" w:hAnsi="宋体" w:eastAsiaTheme="minorEastAsia" w:cstheme="minorEastAsia"/>
          <w:spacing w:val="-13"/>
          <w:sz w:val="24"/>
          <w:szCs w:val="24"/>
          <w:lang w:val="en-US" w:eastAsia="zh-CN"/>
        </w:rPr>
        <w:t xml:space="preserve">申请单位名称（盖章）：           </w:t>
      </w:r>
      <w:r>
        <w:rPr>
          <w:rFonts w:hint="eastAsia" w:ascii="宋体" w:hAnsi="宋体" w:cs="宋体"/>
          <w:spacing w:val="-13"/>
          <w:sz w:val="24"/>
          <w:szCs w:val="24"/>
          <w:lang w:val="en-US" w:eastAsia="zh-CN"/>
        </w:rPr>
        <w:t xml:space="preserve">                  </w:t>
      </w:r>
      <w:r>
        <w:rPr>
          <w:rFonts w:hint="eastAsia" w:ascii="宋体" w:hAnsi="宋体" w:eastAsia="宋体" w:cs="宋体"/>
          <w:spacing w:val="-13"/>
          <w:sz w:val="24"/>
          <w:szCs w:val="24"/>
        </w:rPr>
        <w:t>申请时间：</w:t>
      </w:r>
      <w:r>
        <w:rPr>
          <w:rFonts w:hint="eastAsia" w:ascii="宋体" w:hAnsi="宋体" w:eastAsia="宋体" w:cs="宋体"/>
          <w:spacing w:val="74"/>
          <w:w w:val="101"/>
          <w:sz w:val="24"/>
          <w:szCs w:val="24"/>
        </w:rPr>
        <w:t xml:space="preserve"> </w:t>
      </w:r>
      <w:r>
        <w:rPr>
          <w:rFonts w:hint="eastAsia" w:ascii="宋体" w:hAnsi="宋体" w:eastAsia="宋体" w:cs="宋体"/>
          <w:spacing w:val="74"/>
          <w:w w:val="101"/>
          <w:sz w:val="24"/>
          <w:szCs w:val="24"/>
          <w:lang w:val="en-US" w:eastAsia="zh-CN"/>
        </w:rPr>
        <w:t xml:space="preserve"> </w:t>
      </w:r>
      <w:r>
        <w:rPr>
          <w:rFonts w:hint="eastAsia" w:ascii="宋体" w:hAnsi="宋体" w:eastAsia="宋体" w:cs="宋体"/>
          <w:spacing w:val="-13"/>
          <w:sz w:val="24"/>
          <w:szCs w:val="24"/>
        </w:rPr>
        <w:t>年</w:t>
      </w:r>
      <w:r>
        <w:rPr>
          <w:rFonts w:hint="eastAsia" w:ascii="宋体" w:hAnsi="宋体" w:eastAsia="宋体" w:cs="宋体"/>
          <w:spacing w:val="5"/>
          <w:sz w:val="24"/>
          <w:szCs w:val="24"/>
        </w:rPr>
        <w:t xml:space="preserve">    </w:t>
      </w:r>
      <w:r>
        <w:rPr>
          <w:rFonts w:hint="eastAsia" w:ascii="宋体" w:hAnsi="宋体" w:eastAsia="宋体" w:cs="宋体"/>
          <w:spacing w:val="-13"/>
          <w:sz w:val="24"/>
          <w:szCs w:val="24"/>
        </w:rPr>
        <w:t>月</w:t>
      </w:r>
      <w:r>
        <w:rPr>
          <w:rFonts w:hint="eastAsia" w:ascii="宋体" w:hAnsi="宋体" w:eastAsia="宋体" w:cs="宋体"/>
          <w:spacing w:val="8"/>
          <w:sz w:val="24"/>
          <w:szCs w:val="24"/>
        </w:rPr>
        <w:t xml:space="preserve">  </w:t>
      </w:r>
      <w:r>
        <w:rPr>
          <w:rFonts w:hint="eastAsia" w:ascii="宋体" w:hAnsi="宋体" w:cs="宋体"/>
          <w:spacing w:val="8"/>
          <w:sz w:val="24"/>
          <w:szCs w:val="24"/>
          <w:lang w:val="en-US" w:eastAsia="zh-CN"/>
        </w:rPr>
        <w:t xml:space="preserve"> </w:t>
      </w:r>
      <w:r>
        <w:rPr>
          <w:rFonts w:hint="eastAsia" w:ascii="宋体" w:hAnsi="宋体" w:eastAsia="宋体" w:cs="宋体"/>
          <w:spacing w:val="8"/>
          <w:sz w:val="24"/>
          <w:szCs w:val="24"/>
        </w:rPr>
        <w:t xml:space="preserve"> </w:t>
      </w:r>
      <w:r>
        <w:rPr>
          <w:rFonts w:hint="eastAsia" w:ascii="宋体" w:hAnsi="宋体" w:eastAsia="宋体" w:cs="宋体"/>
          <w:spacing w:val="-13"/>
          <w:sz w:val="24"/>
          <w:szCs w:val="24"/>
        </w:rPr>
        <w:t>日</w:t>
      </w:r>
    </w:p>
    <w:tbl>
      <w:tblPr>
        <w:tblStyle w:val="5"/>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24"/>
        <w:gridCol w:w="1544"/>
        <w:gridCol w:w="24"/>
        <w:gridCol w:w="1036"/>
        <w:gridCol w:w="24"/>
        <w:gridCol w:w="599"/>
        <w:gridCol w:w="466"/>
        <w:gridCol w:w="870"/>
        <w:gridCol w:w="210"/>
        <w:gridCol w:w="356"/>
        <w:gridCol w:w="536"/>
        <w:gridCol w:w="185"/>
        <w:gridCol w:w="17"/>
        <w:gridCol w:w="153"/>
        <w:gridCol w:w="207"/>
        <w:gridCol w:w="288"/>
        <w:gridCol w:w="828"/>
      </w:tblGrid>
      <w:tr w14:paraId="10485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noWrap w:val="0"/>
            <w:vAlign w:val="center"/>
          </w:tcPr>
          <w:p w14:paraId="0F1CFEB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机构名称</w:t>
            </w:r>
          </w:p>
        </w:tc>
        <w:tc>
          <w:tcPr>
            <w:tcW w:w="7367" w:type="dxa"/>
            <w:gridSpan w:val="17"/>
            <w:noWrap w:val="0"/>
            <w:vAlign w:val="center"/>
          </w:tcPr>
          <w:p w14:paraId="3C9DB2A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DA7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44BED5C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单位地址</w:t>
            </w:r>
          </w:p>
        </w:tc>
        <w:tc>
          <w:tcPr>
            <w:tcW w:w="4587" w:type="dxa"/>
            <w:gridSpan w:val="8"/>
            <w:tcBorders>
              <w:top w:val="single" w:color="auto" w:sz="4" w:space="0"/>
              <w:left w:val="single" w:color="auto" w:sz="4" w:space="0"/>
              <w:bottom w:val="single" w:color="auto" w:sz="4" w:space="0"/>
              <w:right w:val="single" w:color="auto" w:sz="4" w:space="0"/>
            </w:tcBorders>
            <w:noWrap w:val="0"/>
            <w:vAlign w:val="center"/>
          </w:tcPr>
          <w:p w14:paraId="277D91B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664" w:type="dxa"/>
            <w:gridSpan w:val="7"/>
            <w:tcBorders>
              <w:top w:val="single" w:color="auto" w:sz="4" w:space="0"/>
              <w:left w:val="single" w:color="auto" w:sz="4" w:space="0"/>
              <w:bottom w:val="single" w:color="auto" w:sz="4" w:space="0"/>
              <w:right w:val="single" w:color="auto" w:sz="4" w:space="0"/>
            </w:tcBorders>
            <w:noWrap w:val="0"/>
            <w:vAlign w:val="center"/>
          </w:tcPr>
          <w:p w14:paraId="3C96480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邮政编码</w:t>
            </w:r>
          </w:p>
        </w:tc>
        <w:tc>
          <w:tcPr>
            <w:tcW w:w="1116" w:type="dxa"/>
            <w:gridSpan w:val="2"/>
            <w:tcBorders>
              <w:top w:val="single" w:color="auto" w:sz="4" w:space="0"/>
              <w:left w:val="single" w:color="auto" w:sz="4" w:space="0"/>
              <w:bottom w:val="single" w:color="auto" w:sz="4" w:space="0"/>
              <w:right w:val="single" w:color="auto" w:sz="4" w:space="0"/>
            </w:tcBorders>
            <w:noWrap w:val="0"/>
            <w:vAlign w:val="center"/>
          </w:tcPr>
          <w:p w14:paraId="51B8C1F8">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785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56EC1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i w:val="0"/>
                <w:caps w:val="0"/>
                <w:color w:val="171A1D"/>
                <w:spacing w:val="0"/>
                <w:kern w:val="0"/>
                <w:sz w:val="21"/>
                <w:szCs w:val="21"/>
                <w:shd w:val="clear" w:color="auto" w:fill="FFFFFF"/>
                <w:lang w:val="en-US" w:eastAsia="zh-CN" w:bidi="ar"/>
              </w:rPr>
              <w:t>统一社会信用代码</w:t>
            </w:r>
          </w:p>
        </w:tc>
        <w:tc>
          <w:tcPr>
            <w:tcW w:w="3251" w:type="dxa"/>
            <w:gridSpan w:val="6"/>
            <w:tcBorders>
              <w:top w:val="single" w:color="auto" w:sz="4" w:space="0"/>
              <w:left w:val="single" w:color="auto" w:sz="4" w:space="0"/>
              <w:bottom w:val="single" w:color="auto" w:sz="4" w:space="0"/>
              <w:right w:val="single" w:color="auto" w:sz="4" w:space="0"/>
            </w:tcBorders>
            <w:noWrap w:val="0"/>
            <w:vAlign w:val="center"/>
          </w:tcPr>
          <w:p w14:paraId="36D249E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p>
        </w:tc>
        <w:tc>
          <w:tcPr>
            <w:tcW w:w="1902" w:type="dxa"/>
            <w:gridSpan w:val="4"/>
            <w:tcBorders>
              <w:top w:val="single" w:color="auto" w:sz="4" w:space="0"/>
              <w:left w:val="single" w:color="auto" w:sz="4" w:space="0"/>
              <w:bottom w:val="single" w:color="auto" w:sz="4" w:space="0"/>
              <w:right w:val="single" w:color="auto" w:sz="4" w:space="0"/>
            </w:tcBorders>
            <w:noWrap w:val="0"/>
            <w:vAlign w:val="center"/>
          </w:tcPr>
          <w:p w14:paraId="5D28E54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所属</w:t>
            </w:r>
            <w:r>
              <w:rPr>
                <w:rFonts w:hint="eastAsia" w:ascii="宋体" w:hAnsi="宋体" w:eastAsia="宋体" w:cs="宋体"/>
                <w:color w:val="auto"/>
                <w:sz w:val="21"/>
                <w:szCs w:val="21"/>
                <w:lang w:eastAsia="zh-CN"/>
              </w:rPr>
              <w:t>行政</w:t>
            </w:r>
            <w:r>
              <w:rPr>
                <w:rFonts w:hint="eastAsia" w:ascii="宋体" w:hAnsi="宋体" w:eastAsia="宋体" w:cs="宋体"/>
                <w:sz w:val="21"/>
                <w:szCs w:val="21"/>
                <w:lang w:eastAsia="zh-CN"/>
              </w:rPr>
              <w:t>区</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街道</w:t>
            </w:r>
          </w:p>
        </w:tc>
        <w:tc>
          <w:tcPr>
            <w:tcW w:w="2214" w:type="dxa"/>
            <w:gridSpan w:val="7"/>
            <w:tcBorders>
              <w:top w:val="single" w:color="auto" w:sz="4" w:space="0"/>
              <w:left w:val="single" w:color="auto" w:sz="4" w:space="0"/>
              <w:bottom w:val="single" w:color="auto" w:sz="4" w:space="0"/>
              <w:right w:val="single" w:color="auto" w:sz="4" w:space="0"/>
            </w:tcBorders>
            <w:noWrap w:val="0"/>
            <w:vAlign w:val="center"/>
          </w:tcPr>
          <w:p w14:paraId="62C68BF3">
            <w:pPr>
              <w:keepNext w:val="0"/>
              <w:keepLines w:val="0"/>
              <w:pageBreakBefore w:val="0"/>
              <w:kinsoku/>
              <w:wordWrap/>
              <w:overflowPunct/>
              <w:topLinePunct w:val="0"/>
              <w:autoSpaceDE/>
              <w:autoSpaceDN/>
              <w:bidi w:val="0"/>
              <w:adjustRightInd/>
              <w:snapToGrid/>
              <w:spacing w:line="240" w:lineRule="exact"/>
              <w:ind w:firstLine="840" w:firstLineChars="400"/>
              <w:jc w:val="right"/>
              <w:textAlignment w:val="auto"/>
              <w:rPr>
                <w:rFonts w:hint="eastAsia" w:ascii="宋体" w:hAnsi="宋体" w:eastAsia="宋体" w:cs="宋体"/>
                <w:sz w:val="21"/>
                <w:szCs w:val="21"/>
                <w:u w:val="single"/>
                <w:lang w:val="en-US" w:eastAsia="zh-CN"/>
              </w:rPr>
            </w:pPr>
          </w:p>
        </w:tc>
      </w:tr>
      <w:tr w14:paraId="36C8A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14DA75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A1FEB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2B75F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084217D7">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62EC9DD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416DC12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3A947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207D35C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主要负责人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0363226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9ADD6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2749E3F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1BCD3E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5F30EA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C3D8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3A9D97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实际控制人</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2B9943F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1F9A1D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身份证号</w:t>
            </w:r>
          </w:p>
        </w:tc>
        <w:tc>
          <w:tcPr>
            <w:tcW w:w="1959" w:type="dxa"/>
            <w:gridSpan w:val="4"/>
            <w:tcBorders>
              <w:top w:val="single" w:color="auto" w:sz="4" w:space="0"/>
              <w:left w:val="single" w:color="auto" w:sz="4" w:space="0"/>
              <w:bottom w:val="single" w:color="auto" w:sz="4" w:space="0"/>
              <w:right w:val="single" w:color="auto" w:sz="4" w:space="0"/>
            </w:tcBorders>
            <w:noWrap w:val="0"/>
            <w:vAlign w:val="center"/>
          </w:tcPr>
          <w:p w14:paraId="72CBC40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199F881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61E7DEF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0FDD9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tcBorders>
              <w:top w:val="single" w:color="auto" w:sz="4" w:space="0"/>
              <w:left w:val="single" w:color="auto" w:sz="4" w:space="0"/>
              <w:bottom w:val="single" w:color="auto" w:sz="4" w:space="0"/>
              <w:right w:val="single" w:color="auto" w:sz="4" w:space="0"/>
            </w:tcBorders>
            <w:noWrap w:val="0"/>
            <w:vAlign w:val="center"/>
          </w:tcPr>
          <w:p w14:paraId="7DAE111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联系人</w:t>
            </w:r>
          </w:p>
        </w:tc>
        <w:tc>
          <w:tcPr>
            <w:tcW w:w="4587" w:type="dxa"/>
            <w:gridSpan w:val="8"/>
            <w:tcBorders>
              <w:top w:val="single" w:color="auto" w:sz="4" w:space="0"/>
              <w:left w:val="single" w:color="auto" w:sz="4" w:space="0"/>
              <w:bottom w:val="single" w:color="auto" w:sz="4" w:space="0"/>
              <w:right w:val="single" w:color="auto" w:sz="4" w:space="0"/>
            </w:tcBorders>
            <w:noWrap w:val="0"/>
            <w:vAlign w:val="center"/>
          </w:tcPr>
          <w:p w14:paraId="1BCB24E0">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04" w:type="dxa"/>
            <w:gridSpan w:val="5"/>
            <w:tcBorders>
              <w:top w:val="single" w:color="auto" w:sz="4" w:space="0"/>
              <w:left w:val="single" w:color="auto" w:sz="4" w:space="0"/>
              <w:bottom w:val="single" w:color="auto" w:sz="4" w:space="0"/>
              <w:right w:val="single" w:color="auto" w:sz="4" w:space="0"/>
            </w:tcBorders>
            <w:noWrap w:val="0"/>
            <w:vAlign w:val="center"/>
          </w:tcPr>
          <w:p w14:paraId="32F8962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联系电话</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489A8FD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443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exact"/>
          <w:jc w:val="center"/>
        </w:trPr>
        <w:tc>
          <w:tcPr>
            <w:tcW w:w="1984" w:type="dxa"/>
            <w:noWrap w:val="0"/>
            <w:vAlign w:val="center"/>
          </w:tcPr>
          <w:p w14:paraId="72804F8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机构类型</w:t>
            </w:r>
          </w:p>
        </w:tc>
        <w:tc>
          <w:tcPr>
            <w:tcW w:w="7367" w:type="dxa"/>
            <w:gridSpan w:val="17"/>
            <w:noWrap w:val="0"/>
            <w:vAlign w:val="center"/>
          </w:tcPr>
          <w:p w14:paraId="64A7CA9E">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医疗机构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养老机构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其他企业或社会组织</w:t>
            </w:r>
          </w:p>
          <w:p w14:paraId="42AC747A">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□公办机构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□民营</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□国有资本参资</w:t>
            </w:r>
            <w:r>
              <w:rPr>
                <w:rFonts w:hint="eastAsia" w:ascii="宋体" w:hAnsi="宋体" w:eastAsia="宋体" w:cs="宋体"/>
                <w:color w:val="auto"/>
                <w:sz w:val="21"/>
                <w:szCs w:val="21"/>
              </w:rPr>
              <w:t>机构</w:t>
            </w:r>
            <w:r>
              <w:rPr>
                <w:rFonts w:hint="eastAsia" w:ascii="宋体" w:hAnsi="宋体" w:eastAsia="宋体" w:cs="宋体"/>
                <w:color w:val="auto"/>
                <w:sz w:val="21"/>
                <w:szCs w:val="21"/>
                <w:lang w:val="en-US" w:eastAsia="zh-CN"/>
              </w:rPr>
              <w:t xml:space="preserve">  </w:t>
            </w:r>
          </w:p>
          <w:p w14:paraId="5FBBBC36">
            <w:pPr>
              <w:keepNext w:val="0"/>
              <w:keepLines w:val="0"/>
              <w:pageBreakBefore w:val="0"/>
              <w:kinsoku/>
              <w:wordWrap/>
              <w:overflowPunct/>
              <w:topLinePunct w:val="0"/>
              <w:autoSpaceDE/>
              <w:autoSpaceDN/>
              <w:bidi w:val="0"/>
              <w:adjustRightInd/>
              <w:snapToGrid/>
              <w:spacing w:line="24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□非营利性机构</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□营利性</w:t>
            </w:r>
            <w:r>
              <w:rPr>
                <w:rFonts w:hint="eastAsia" w:ascii="宋体" w:hAnsi="宋体" w:eastAsia="宋体" w:cs="宋体"/>
                <w:color w:val="auto"/>
                <w:sz w:val="21"/>
                <w:szCs w:val="21"/>
              </w:rPr>
              <w:t>机构</w:t>
            </w:r>
          </w:p>
        </w:tc>
      </w:tr>
      <w:tr w14:paraId="0658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84" w:type="dxa"/>
            <w:noWrap w:val="0"/>
            <w:vAlign w:val="center"/>
          </w:tcPr>
          <w:p w14:paraId="676D43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提供服务方式</w:t>
            </w:r>
          </w:p>
        </w:tc>
        <w:tc>
          <w:tcPr>
            <w:tcW w:w="7367" w:type="dxa"/>
            <w:gridSpan w:val="17"/>
            <w:noWrap w:val="0"/>
            <w:vAlign w:val="center"/>
          </w:tcPr>
          <w:p w14:paraId="4FEB40B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rPr>
              <w:t>机构护理服务</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rPr>
              <w:t>居家护理服务</w:t>
            </w:r>
            <w:r>
              <w:rPr>
                <w:rFonts w:hint="eastAsia" w:ascii="宋体" w:hAnsi="宋体" w:eastAsia="宋体" w:cs="宋体"/>
                <w:color w:val="auto"/>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color w:val="auto"/>
                <w:sz w:val="21"/>
                <w:szCs w:val="21"/>
                <w:lang w:eastAsia="zh-CN"/>
              </w:rPr>
              <w:t>社区</w:t>
            </w:r>
            <w:r>
              <w:rPr>
                <w:rFonts w:hint="eastAsia" w:ascii="宋体" w:hAnsi="宋体" w:eastAsia="宋体" w:cs="宋体"/>
                <w:color w:val="auto"/>
                <w:sz w:val="21"/>
                <w:szCs w:val="21"/>
              </w:rPr>
              <w:t>护理服务</w:t>
            </w:r>
          </w:p>
        </w:tc>
      </w:tr>
      <w:tr w14:paraId="72D6E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351" w:type="dxa"/>
            <w:gridSpan w:val="18"/>
            <w:tcBorders>
              <w:top w:val="single" w:color="auto" w:sz="4" w:space="0"/>
              <w:left w:val="single" w:color="auto" w:sz="4" w:space="0"/>
              <w:bottom w:val="single" w:color="auto" w:sz="4" w:space="0"/>
              <w:right w:val="single" w:color="auto" w:sz="4" w:space="0"/>
            </w:tcBorders>
            <w:noWrap w:val="0"/>
            <w:vAlign w:val="center"/>
          </w:tcPr>
          <w:p w14:paraId="6A188174">
            <w:pPr>
              <w:keepNext w:val="0"/>
              <w:keepLines w:val="0"/>
              <w:pageBreakBefore w:val="0"/>
              <w:kinsoku/>
              <w:wordWrap/>
              <w:overflowPunct/>
              <w:topLinePunct w:val="0"/>
              <w:autoSpaceDE/>
              <w:autoSpaceDN/>
              <w:bidi w:val="0"/>
              <w:adjustRightInd/>
              <w:snapToGrid/>
              <w:spacing w:line="240" w:lineRule="exact"/>
              <w:ind w:firstLine="105" w:firstLineChars="5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以下根据机构类型及实际情况对应填写</w:t>
            </w:r>
          </w:p>
        </w:tc>
      </w:tr>
      <w:tr w14:paraId="6349D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76" w:type="dxa"/>
            <w:gridSpan w:val="4"/>
            <w:noWrap w:val="0"/>
            <w:vAlign w:val="center"/>
          </w:tcPr>
          <w:p w14:paraId="3F9EA96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医疗机构执业许可证号</w:t>
            </w:r>
          </w:p>
        </w:tc>
        <w:tc>
          <w:tcPr>
            <w:tcW w:w="5775" w:type="dxa"/>
            <w:gridSpan w:val="14"/>
            <w:noWrap w:val="0"/>
            <w:vAlign w:val="center"/>
          </w:tcPr>
          <w:p w14:paraId="3F7AD4F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7BB0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576" w:type="dxa"/>
            <w:gridSpan w:val="4"/>
            <w:noWrap w:val="0"/>
            <w:vAlign w:val="center"/>
          </w:tcPr>
          <w:p w14:paraId="719573C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养老机构设立许可证号</w:t>
            </w:r>
          </w:p>
        </w:tc>
        <w:tc>
          <w:tcPr>
            <w:tcW w:w="5775" w:type="dxa"/>
            <w:gridSpan w:val="14"/>
            <w:noWrap w:val="0"/>
            <w:vAlign w:val="center"/>
          </w:tcPr>
          <w:p w14:paraId="24A3653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6A4C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351" w:type="dxa"/>
            <w:gridSpan w:val="18"/>
            <w:tcBorders>
              <w:top w:val="single" w:color="auto" w:sz="4" w:space="0"/>
              <w:left w:val="single" w:color="auto" w:sz="4" w:space="0"/>
              <w:bottom w:val="single" w:color="auto" w:sz="4" w:space="0"/>
              <w:right w:val="single" w:color="auto" w:sz="4" w:space="0"/>
            </w:tcBorders>
            <w:noWrap w:val="0"/>
            <w:vAlign w:val="center"/>
          </w:tcPr>
          <w:p w14:paraId="4172942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□事业单位法人证书号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w:t>
            </w:r>
            <w:r>
              <w:rPr>
                <w:rFonts w:hint="eastAsia" w:ascii="宋体" w:hAnsi="宋体" w:eastAsia="宋体" w:cs="宋体"/>
                <w:sz w:val="21"/>
                <w:szCs w:val="21"/>
              </w:rPr>
              <w:t>民办非企业单位登记证书号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□营业执照号</w:t>
            </w:r>
          </w:p>
        </w:tc>
      </w:tr>
      <w:tr w14:paraId="5EB90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jc w:val="center"/>
        </w:trPr>
        <w:tc>
          <w:tcPr>
            <w:tcW w:w="3576" w:type="dxa"/>
            <w:gridSpan w:val="4"/>
            <w:noWrap w:val="0"/>
            <w:vAlign w:val="center"/>
          </w:tcPr>
          <w:p w14:paraId="6C80E15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证书</w:t>
            </w:r>
            <w:r>
              <w:rPr>
                <w:rFonts w:hint="eastAsia" w:ascii="宋体" w:hAnsi="宋体" w:eastAsia="宋体" w:cs="宋体"/>
                <w:sz w:val="21"/>
                <w:szCs w:val="21"/>
                <w:lang w:val="en-US" w:eastAsia="zh-CN"/>
              </w:rPr>
              <w:t>号码</w:t>
            </w:r>
          </w:p>
        </w:tc>
        <w:tc>
          <w:tcPr>
            <w:tcW w:w="5775" w:type="dxa"/>
            <w:gridSpan w:val="14"/>
            <w:noWrap w:val="0"/>
            <w:vAlign w:val="center"/>
          </w:tcPr>
          <w:p w14:paraId="7A1F1C59">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1864B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exact"/>
          <w:jc w:val="center"/>
        </w:trPr>
        <w:tc>
          <w:tcPr>
            <w:tcW w:w="3576" w:type="dxa"/>
            <w:gridSpan w:val="4"/>
            <w:vMerge w:val="restart"/>
            <w:noWrap w:val="0"/>
            <w:vAlign w:val="center"/>
          </w:tcPr>
          <w:p w14:paraId="38F9882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养老机构、其他服务机构的医疗服务能力配备情况</w:t>
            </w:r>
          </w:p>
        </w:tc>
        <w:tc>
          <w:tcPr>
            <w:tcW w:w="5775" w:type="dxa"/>
            <w:gridSpan w:val="14"/>
            <w:noWrap w:val="0"/>
            <w:vAlign w:val="center"/>
          </w:tcPr>
          <w:p w14:paraId="15A40CA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r>
              <w:rPr>
                <w:rFonts w:hint="eastAsia" w:ascii="宋体" w:hAnsi="宋体" w:eastAsia="宋体" w:cs="宋体"/>
                <w:sz w:val="21"/>
                <w:szCs w:val="21"/>
                <w:lang w:eastAsia="zh-CN"/>
              </w:rPr>
              <w:t>□设有内设医疗机构</w:t>
            </w:r>
          </w:p>
        </w:tc>
      </w:tr>
      <w:tr w14:paraId="709AA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exact"/>
          <w:jc w:val="center"/>
        </w:trPr>
        <w:tc>
          <w:tcPr>
            <w:tcW w:w="3576" w:type="dxa"/>
            <w:gridSpan w:val="4"/>
            <w:vMerge w:val="continue"/>
            <w:noWrap w:val="0"/>
            <w:vAlign w:val="center"/>
          </w:tcPr>
          <w:p w14:paraId="15EBDE0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5775" w:type="dxa"/>
            <w:gridSpan w:val="14"/>
            <w:noWrap w:val="0"/>
            <w:vAlign w:val="center"/>
          </w:tcPr>
          <w:p w14:paraId="11A1815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r>
              <w:rPr>
                <w:rFonts w:hint="eastAsia" w:ascii="宋体" w:hAnsi="宋体" w:eastAsia="宋体" w:cs="宋体"/>
                <w:sz w:val="21"/>
                <w:szCs w:val="21"/>
                <w:lang w:eastAsia="zh-CN"/>
              </w:rPr>
              <w:t>□与就近医疗机构开展协议合作</w:t>
            </w:r>
          </w:p>
        </w:tc>
      </w:tr>
      <w:tr w14:paraId="495C9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exact"/>
          <w:jc w:val="center"/>
        </w:trPr>
        <w:tc>
          <w:tcPr>
            <w:tcW w:w="2008" w:type="dxa"/>
            <w:gridSpan w:val="2"/>
            <w:vMerge w:val="restart"/>
            <w:tcBorders>
              <w:top w:val="single" w:color="auto" w:sz="4" w:space="0"/>
              <w:left w:val="single" w:color="auto" w:sz="4" w:space="0"/>
              <w:right w:val="single" w:color="auto" w:sz="4" w:space="0"/>
            </w:tcBorders>
            <w:noWrap w:val="0"/>
            <w:vAlign w:val="center"/>
          </w:tcPr>
          <w:p w14:paraId="770B9F0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现有护理</w:t>
            </w:r>
            <w:r>
              <w:rPr>
                <w:rFonts w:hint="eastAsia" w:ascii="宋体" w:hAnsi="宋体" w:eastAsia="宋体" w:cs="宋体"/>
                <w:sz w:val="21"/>
                <w:szCs w:val="21"/>
              </w:rPr>
              <w:t>人员构成</w:t>
            </w: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3F0CBB5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人员类别</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5ED2E6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7423BCA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高级职称</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7B9506D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中级职称</w:t>
            </w: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30BE1F6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初级职称</w:t>
            </w: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5612334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420AF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4" w:hRule="exact"/>
          <w:jc w:val="center"/>
        </w:trPr>
        <w:tc>
          <w:tcPr>
            <w:tcW w:w="2008" w:type="dxa"/>
            <w:gridSpan w:val="2"/>
            <w:vMerge w:val="continue"/>
            <w:tcBorders>
              <w:left w:val="single" w:color="auto" w:sz="4" w:space="0"/>
              <w:right w:val="single" w:color="auto" w:sz="4" w:space="0"/>
            </w:tcBorders>
            <w:noWrap w:val="0"/>
            <w:vAlign w:val="center"/>
          </w:tcPr>
          <w:p w14:paraId="4D16712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506087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注册医</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278A620">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2278F05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6E7FB56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3146D40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6410B3A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5C2A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exact"/>
          <w:jc w:val="center"/>
        </w:trPr>
        <w:tc>
          <w:tcPr>
            <w:tcW w:w="2008" w:type="dxa"/>
            <w:gridSpan w:val="2"/>
            <w:vMerge w:val="continue"/>
            <w:tcBorders>
              <w:left w:val="single" w:color="auto" w:sz="4" w:space="0"/>
              <w:right w:val="single" w:color="auto" w:sz="4" w:space="0"/>
            </w:tcBorders>
            <w:noWrap w:val="0"/>
            <w:vAlign w:val="center"/>
          </w:tcPr>
          <w:p w14:paraId="49A3034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top w:val="single" w:color="auto" w:sz="4" w:space="0"/>
              <w:left w:val="single" w:color="auto" w:sz="4" w:space="0"/>
              <w:bottom w:val="single" w:color="auto" w:sz="4" w:space="0"/>
              <w:right w:val="single" w:color="auto" w:sz="4" w:space="0"/>
            </w:tcBorders>
            <w:noWrap w:val="0"/>
            <w:vAlign w:val="center"/>
          </w:tcPr>
          <w:p w14:paraId="6F3004C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注册护士</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1A215DF1">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66B1A39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4708F8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247" w:type="dxa"/>
            <w:gridSpan w:val="5"/>
            <w:tcBorders>
              <w:top w:val="single" w:color="auto" w:sz="4" w:space="0"/>
              <w:left w:val="single" w:color="auto" w:sz="4" w:space="0"/>
              <w:bottom w:val="single" w:color="auto" w:sz="4" w:space="0"/>
              <w:right w:val="single" w:color="auto" w:sz="4" w:space="0"/>
            </w:tcBorders>
            <w:noWrap w:val="0"/>
            <w:vAlign w:val="center"/>
          </w:tcPr>
          <w:p w14:paraId="21A7D03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323" w:type="dxa"/>
            <w:gridSpan w:val="3"/>
            <w:tcBorders>
              <w:top w:val="single" w:color="auto" w:sz="4" w:space="0"/>
              <w:left w:val="single" w:color="auto" w:sz="4" w:space="0"/>
              <w:bottom w:val="single" w:color="auto" w:sz="4" w:space="0"/>
              <w:right w:val="single" w:color="auto" w:sz="4" w:space="0"/>
            </w:tcBorders>
            <w:noWrap w:val="0"/>
            <w:vAlign w:val="center"/>
          </w:tcPr>
          <w:p w14:paraId="12277DBD">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66F93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exact"/>
          <w:jc w:val="center"/>
        </w:trPr>
        <w:tc>
          <w:tcPr>
            <w:tcW w:w="2008" w:type="dxa"/>
            <w:gridSpan w:val="2"/>
            <w:vMerge w:val="continue"/>
            <w:tcBorders>
              <w:left w:val="single" w:color="auto" w:sz="4" w:space="0"/>
              <w:right w:val="single" w:color="auto" w:sz="4" w:space="0"/>
            </w:tcBorders>
            <w:noWrap w:val="0"/>
            <w:vAlign w:val="center"/>
          </w:tcPr>
          <w:p w14:paraId="2C7C7C2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568" w:type="dxa"/>
            <w:gridSpan w:val="2"/>
            <w:vMerge w:val="restart"/>
            <w:tcBorders>
              <w:top w:val="single" w:color="auto" w:sz="4" w:space="0"/>
              <w:left w:val="single" w:color="auto" w:sz="4" w:space="0"/>
              <w:right w:val="single" w:color="auto" w:sz="4" w:space="0"/>
            </w:tcBorders>
            <w:noWrap w:val="0"/>
            <w:vAlign w:val="center"/>
          </w:tcPr>
          <w:p w14:paraId="2AA2064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护理员</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6633258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114A617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w:t>
            </w:r>
          </w:p>
          <w:p w14:paraId="301E30B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护理员</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C6AC95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医疗</w:t>
            </w:r>
          </w:p>
          <w:p w14:paraId="7E0E55A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护理员</w:t>
            </w:r>
          </w:p>
        </w:tc>
        <w:tc>
          <w:tcPr>
            <w:tcW w:w="892" w:type="dxa"/>
            <w:gridSpan w:val="2"/>
            <w:tcBorders>
              <w:top w:val="single" w:color="auto" w:sz="4" w:space="0"/>
              <w:left w:val="single" w:color="auto" w:sz="4" w:space="0"/>
              <w:bottom w:val="single" w:color="auto" w:sz="4" w:space="0"/>
              <w:right w:val="single" w:color="auto" w:sz="4" w:space="0"/>
            </w:tcBorders>
            <w:noWrap w:val="0"/>
            <w:vAlign w:val="center"/>
          </w:tcPr>
          <w:p w14:paraId="106A7A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长期照护师</w:t>
            </w:r>
          </w:p>
        </w:tc>
        <w:tc>
          <w:tcPr>
            <w:tcW w:w="850" w:type="dxa"/>
            <w:gridSpan w:val="5"/>
            <w:tcBorders>
              <w:top w:val="single" w:color="auto" w:sz="4" w:space="0"/>
              <w:left w:val="single" w:color="auto" w:sz="4" w:space="0"/>
              <w:bottom w:val="single" w:color="auto" w:sz="4" w:space="0"/>
              <w:right w:val="single" w:color="auto" w:sz="4" w:space="0"/>
            </w:tcBorders>
            <w:noWrap w:val="0"/>
            <w:vAlign w:val="center"/>
          </w:tcPr>
          <w:p w14:paraId="2507218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健康照护师</w:t>
            </w:r>
          </w:p>
        </w:tc>
        <w:tc>
          <w:tcPr>
            <w:tcW w:w="828" w:type="dxa"/>
            <w:tcBorders>
              <w:top w:val="single" w:color="auto" w:sz="4" w:space="0"/>
              <w:left w:val="single" w:color="auto" w:sz="4" w:space="0"/>
              <w:bottom w:val="single" w:color="auto" w:sz="4" w:space="0"/>
              <w:right w:val="single" w:color="auto" w:sz="4" w:space="0"/>
            </w:tcBorders>
            <w:noWrap w:val="0"/>
            <w:vAlign w:val="center"/>
          </w:tcPr>
          <w:p w14:paraId="296FB99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0680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exact"/>
          <w:jc w:val="center"/>
        </w:trPr>
        <w:tc>
          <w:tcPr>
            <w:tcW w:w="2008" w:type="dxa"/>
            <w:gridSpan w:val="2"/>
            <w:vMerge w:val="continue"/>
            <w:tcBorders>
              <w:left w:val="single" w:color="auto" w:sz="4" w:space="0"/>
              <w:bottom w:val="single" w:color="auto" w:sz="4" w:space="0"/>
              <w:right w:val="single" w:color="auto" w:sz="4" w:space="0"/>
            </w:tcBorders>
            <w:noWrap w:val="0"/>
            <w:vAlign w:val="center"/>
          </w:tcPr>
          <w:p w14:paraId="256C5B9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continue"/>
            <w:tcBorders>
              <w:left w:val="single" w:color="auto" w:sz="4" w:space="0"/>
              <w:bottom w:val="single" w:color="auto" w:sz="4" w:space="0"/>
              <w:right w:val="single" w:color="auto" w:sz="4" w:space="0"/>
            </w:tcBorders>
            <w:noWrap w:val="0"/>
            <w:vAlign w:val="center"/>
          </w:tcPr>
          <w:p w14:paraId="6A5D38F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41AA88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4AE4D6E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046CFA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892" w:type="dxa"/>
            <w:gridSpan w:val="2"/>
            <w:tcBorders>
              <w:top w:val="single" w:color="auto" w:sz="4" w:space="0"/>
              <w:left w:val="single" w:color="auto" w:sz="4" w:space="0"/>
              <w:bottom w:val="single" w:color="auto" w:sz="4" w:space="0"/>
              <w:right w:val="single" w:color="auto" w:sz="4" w:space="0"/>
            </w:tcBorders>
            <w:noWrap w:val="0"/>
            <w:vAlign w:val="top"/>
          </w:tcPr>
          <w:p w14:paraId="4F3233E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50" w:type="dxa"/>
            <w:gridSpan w:val="5"/>
            <w:tcBorders>
              <w:top w:val="single" w:color="auto" w:sz="4" w:space="0"/>
              <w:left w:val="single" w:color="auto" w:sz="4" w:space="0"/>
              <w:bottom w:val="single" w:color="auto" w:sz="4" w:space="0"/>
              <w:right w:val="single" w:color="auto" w:sz="4" w:space="0"/>
            </w:tcBorders>
            <w:noWrap w:val="0"/>
            <w:vAlign w:val="top"/>
          </w:tcPr>
          <w:p w14:paraId="027F5A0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28" w:type="dxa"/>
            <w:tcBorders>
              <w:top w:val="single" w:color="auto" w:sz="4" w:space="0"/>
              <w:left w:val="single" w:color="auto" w:sz="4" w:space="0"/>
              <w:bottom w:val="single" w:color="auto" w:sz="4" w:space="0"/>
              <w:right w:val="single" w:color="auto" w:sz="4" w:space="0"/>
            </w:tcBorders>
            <w:noWrap w:val="0"/>
            <w:vAlign w:val="top"/>
          </w:tcPr>
          <w:p w14:paraId="6A24015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4F986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exact"/>
          <w:jc w:val="center"/>
        </w:trPr>
        <w:tc>
          <w:tcPr>
            <w:tcW w:w="2008" w:type="dxa"/>
            <w:gridSpan w:val="2"/>
            <w:vMerge w:val="restart"/>
            <w:tcBorders>
              <w:left w:val="single" w:color="auto" w:sz="4" w:space="0"/>
              <w:right w:val="single" w:color="auto" w:sz="4" w:space="0"/>
            </w:tcBorders>
            <w:noWrap w:val="0"/>
            <w:vAlign w:val="center"/>
          </w:tcPr>
          <w:p w14:paraId="45C930F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拟配备护理人员</w:t>
            </w:r>
          </w:p>
        </w:tc>
        <w:tc>
          <w:tcPr>
            <w:tcW w:w="1568" w:type="dxa"/>
            <w:gridSpan w:val="2"/>
            <w:tcBorders>
              <w:left w:val="single" w:color="auto" w:sz="4" w:space="0"/>
              <w:bottom w:val="single" w:color="auto" w:sz="4" w:space="0"/>
              <w:right w:val="single" w:color="auto" w:sz="4" w:space="0"/>
            </w:tcBorders>
            <w:noWrap w:val="0"/>
            <w:vAlign w:val="center"/>
          </w:tcPr>
          <w:p w14:paraId="1D79DCB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人员类别</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7F93A1F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B53561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高级职称</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1E488AA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中级职称</w:t>
            </w: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6B1DE06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初级职称</w:t>
            </w: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6D2E2AA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32A1A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exact"/>
          <w:jc w:val="center"/>
        </w:trPr>
        <w:tc>
          <w:tcPr>
            <w:tcW w:w="2008" w:type="dxa"/>
            <w:gridSpan w:val="2"/>
            <w:vMerge w:val="continue"/>
            <w:tcBorders>
              <w:left w:val="single" w:color="auto" w:sz="4" w:space="0"/>
              <w:right w:val="single" w:color="auto" w:sz="4" w:space="0"/>
            </w:tcBorders>
            <w:noWrap w:val="0"/>
            <w:vAlign w:val="center"/>
          </w:tcPr>
          <w:p w14:paraId="160C4F1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left w:val="single" w:color="auto" w:sz="4" w:space="0"/>
              <w:bottom w:val="single" w:color="auto" w:sz="4" w:space="0"/>
              <w:right w:val="single" w:color="auto" w:sz="4" w:space="0"/>
            </w:tcBorders>
            <w:noWrap w:val="0"/>
            <w:vAlign w:val="center"/>
          </w:tcPr>
          <w:p w14:paraId="28123D9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注册医</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2B4AF67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45B88F6">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407594C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10C44CD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11CC049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r w14:paraId="38E93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exact"/>
          <w:jc w:val="center"/>
        </w:trPr>
        <w:tc>
          <w:tcPr>
            <w:tcW w:w="2008" w:type="dxa"/>
            <w:gridSpan w:val="2"/>
            <w:vMerge w:val="continue"/>
            <w:tcBorders>
              <w:left w:val="single" w:color="auto" w:sz="4" w:space="0"/>
              <w:right w:val="single" w:color="auto" w:sz="4" w:space="0"/>
            </w:tcBorders>
            <w:noWrap w:val="0"/>
            <w:vAlign w:val="center"/>
          </w:tcPr>
          <w:p w14:paraId="1D65B4FB">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tcBorders>
              <w:left w:val="single" w:color="auto" w:sz="4" w:space="0"/>
              <w:bottom w:val="single" w:color="auto" w:sz="4" w:space="0"/>
              <w:right w:val="single" w:color="auto" w:sz="4" w:space="0"/>
            </w:tcBorders>
            <w:noWrap w:val="0"/>
            <w:vAlign w:val="center"/>
          </w:tcPr>
          <w:p w14:paraId="1662796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注册护士</w:t>
            </w:r>
            <w:r>
              <w:rPr>
                <w:rFonts w:hint="eastAsia" w:ascii="宋体" w:hAnsi="宋体" w:eastAsia="宋体" w:cs="宋体"/>
                <w:sz w:val="21"/>
                <w:szCs w:val="21"/>
                <w:lang w:eastAsia="zh-CN"/>
              </w:rPr>
              <w:t>（师）</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0D6693A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50BE6A55">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7F82816E">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077" w:type="dxa"/>
            <w:gridSpan w:val="3"/>
            <w:tcBorders>
              <w:top w:val="single" w:color="auto" w:sz="4" w:space="0"/>
              <w:left w:val="single" w:color="auto" w:sz="4" w:space="0"/>
              <w:bottom w:val="single" w:color="auto" w:sz="4" w:space="0"/>
              <w:right w:val="single" w:color="auto" w:sz="4" w:space="0"/>
            </w:tcBorders>
            <w:noWrap w:val="0"/>
            <w:vAlign w:val="center"/>
          </w:tcPr>
          <w:p w14:paraId="7BB1F16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kern w:val="2"/>
                <w:sz w:val="21"/>
                <w:szCs w:val="21"/>
                <w:lang w:val="en-US" w:eastAsia="zh-CN" w:bidi="ar-SA"/>
              </w:rPr>
            </w:pPr>
          </w:p>
        </w:tc>
        <w:tc>
          <w:tcPr>
            <w:tcW w:w="1493" w:type="dxa"/>
            <w:gridSpan w:val="5"/>
            <w:tcBorders>
              <w:top w:val="single" w:color="auto" w:sz="4" w:space="0"/>
              <w:left w:val="single" w:color="auto" w:sz="4" w:space="0"/>
              <w:bottom w:val="single" w:color="auto" w:sz="4" w:space="0"/>
              <w:right w:val="single" w:color="auto" w:sz="4" w:space="0"/>
            </w:tcBorders>
            <w:noWrap w:val="0"/>
            <w:vAlign w:val="center"/>
          </w:tcPr>
          <w:p w14:paraId="5617779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r w14:paraId="5B612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exact"/>
          <w:jc w:val="center"/>
        </w:trPr>
        <w:tc>
          <w:tcPr>
            <w:tcW w:w="2008" w:type="dxa"/>
            <w:gridSpan w:val="2"/>
            <w:vMerge w:val="continue"/>
            <w:tcBorders>
              <w:left w:val="single" w:color="auto" w:sz="4" w:space="0"/>
              <w:right w:val="single" w:color="auto" w:sz="4" w:space="0"/>
            </w:tcBorders>
            <w:noWrap w:val="0"/>
            <w:vAlign w:val="center"/>
          </w:tcPr>
          <w:p w14:paraId="4D56C17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restart"/>
            <w:tcBorders>
              <w:left w:val="single" w:color="auto" w:sz="4" w:space="0"/>
              <w:bottom w:val="single" w:color="auto" w:sz="4" w:space="0"/>
              <w:right w:val="single" w:color="auto" w:sz="4" w:space="0"/>
            </w:tcBorders>
            <w:noWrap w:val="0"/>
            <w:vAlign w:val="center"/>
          </w:tcPr>
          <w:p w14:paraId="634C3E6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护理员</w:t>
            </w: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42E400E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总人数</w:t>
            </w: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3974191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养老</w:t>
            </w:r>
          </w:p>
          <w:p w14:paraId="1BF6BE1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护理员</w:t>
            </w: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53C3FCE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医疗</w:t>
            </w:r>
          </w:p>
          <w:p w14:paraId="70978CF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护理员</w:t>
            </w:r>
          </w:p>
        </w:tc>
        <w:tc>
          <w:tcPr>
            <w:tcW w:w="892" w:type="dxa"/>
            <w:gridSpan w:val="2"/>
            <w:tcBorders>
              <w:top w:val="single" w:color="auto" w:sz="4" w:space="0"/>
              <w:left w:val="single" w:color="auto" w:sz="4" w:space="0"/>
              <w:bottom w:val="single" w:color="auto" w:sz="4" w:space="0"/>
              <w:right w:val="single" w:color="auto" w:sz="4" w:space="0"/>
            </w:tcBorders>
            <w:noWrap w:val="0"/>
            <w:vAlign w:val="center"/>
          </w:tcPr>
          <w:p w14:paraId="5B26AB8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长期照护师</w:t>
            </w:r>
          </w:p>
        </w:tc>
        <w:tc>
          <w:tcPr>
            <w:tcW w:w="850" w:type="dxa"/>
            <w:gridSpan w:val="5"/>
            <w:tcBorders>
              <w:top w:val="single" w:color="auto" w:sz="4" w:space="0"/>
              <w:left w:val="single" w:color="auto" w:sz="4" w:space="0"/>
              <w:bottom w:val="single" w:color="auto" w:sz="4" w:space="0"/>
              <w:right w:val="single" w:color="auto" w:sz="4" w:space="0"/>
            </w:tcBorders>
            <w:noWrap w:val="0"/>
            <w:vAlign w:val="center"/>
          </w:tcPr>
          <w:p w14:paraId="4B832C3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健康照护师</w:t>
            </w:r>
          </w:p>
        </w:tc>
        <w:tc>
          <w:tcPr>
            <w:tcW w:w="828" w:type="dxa"/>
            <w:tcBorders>
              <w:top w:val="single" w:color="auto" w:sz="4" w:space="0"/>
              <w:left w:val="single" w:color="auto" w:sz="4" w:space="0"/>
              <w:bottom w:val="single" w:color="auto" w:sz="4" w:space="0"/>
              <w:right w:val="single" w:color="auto" w:sz="4" w:space="0"/>
            </w:tcBorders>
            <w:noWrap w:val="0"/>
            <w:vAlign w:val="center"/>
          </w:tcPr>
          <w:p w14:paraId="6977FE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其他</w:t>
            </w:r>
          </w:p>
        </w:tc>
      </w:tr>
      <w:tr w14:paraId="46687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exact"/>
          <w:jc w:val="center"/>
        </w:trPr>
        <w:tc>
          <w:tcPr>
            <w:tcW w:w="2008" w:type="dxa"/>
            <w:gridSpan w:val="2"/>
            <w:vMerge w:val="continue"/>
            <w:tcBorders>
              <w:left w:val="single" w:color="auto" w:sz="4" w:space="0"/>
              <w:bottom w:val="single" w:color="auto" w:sz="4" w:space="0"/>
              <w:right w:val="single" w:color="auto" w:sz="4" w:space="0"/>
            </w:tcBorders>
            <w:noWrap w:val="0"/>
            <w:vAlign w:val="center"/>
          </w:tcPr>
          <w:p w14:paraId="6EEA2793">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1568" w:type="dxa"/>
            <w:gridSpan w:val="2"/>
            <w:vMerge w:val="continue"/>
            <w:tcBorders>
              <w:left w:val="single" w:color="auto" w:sz="4" w:space="0"/>
              <w:bottom w:val="single" w:color="auto" w:sz="4" w:space="0"/>
              <w:right w:val="single" w:color="auto" w:sz="4" w:space="0"/>
            </w:tcBorders>
            <w:noWrap w:val="0"/>
            <w:vAlign w:val="center"/>
          </w:tcPr>
          <w:p w14:paraId="75ADF59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0" w:type="dxa"/>
            <w:gridSpan w:val="2"/>
            <w:tcBorders>
              <w:top w:val="single" w:color="auto" w:sz="4" w:space="0"/>
              <w:left w:val="single" w:color="auto" w:sz="4" w:space="0"/>
              <w:bottom w:val="single" w:color="auto" w:sz="4" w:space="0"/>
              <w:right w:val="single" w:color="auto" w:sz="4" w:space="0"/>
            </w:tcBorders>
            <w:noWrap w:val="0"/>
            <w:vAlign w:val="center"/>
          </w:tcPr>
          <w:p w14:paraId="501F32F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65" w:type="dxa"/>
            <w:gridSpan w:val="2"/>
            <w:tcBorders>
              <w:top w:val="single" w:color="auto" w:sz="4" w:space="0"/>
              <w:left w:val="single" w:color="auto" w:sz="4" w:space="0"/>
              <w:bottom w:val="single" w:color="auto" w:sz="4" w:space="0"/>
              <w:right w:val="single" w:color="auto" w:sz="4" w:space="0"/>
            </w:tcBorders>
            <w:noWrap w:val="0"/>
            <w:vAlign w:val="center"/>
          </w:tcPr>
          <w:p w14:paraId="031FF39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1080" w:type="dxa"/>
            <w:gridSpan w:val="2"/>
            <w:tcBorders>
              <w:top w:val="single" w:color="auto" w:sz="4" w:space="0"/>
              <w:left w:val="single" w:color="auto" w:sz="4" w:space="0"/>
              <w:bottom w:val="single" w:color="auto" w:sz="4" w:space="0"/>
              <w:right w:val="single" w:color="auto" w:sz="4" w:space="0"/>
            </w:tcBorders>
            <w:noWrap w:val="0"/>
            <w:vAlign w:val="center"/>
          </w:tcPr>
          <w:p w14:paraId="6334219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892" w:type="dxa"/>
            <w:gridSpan w:val="2"/>
            <w:tcBorders>
              <w:top w:val="single" w:color="auto" w:sz="4" w:space="0"/>
              <w:left w:val="single" w:color="auto" w:sz="4" w:space="0"/>
              <w:bottom w:val="single" w:color="auto" w:sz="4" w:space="0"/>
              <w:right w:val="single" w:color="auto" w:sz="4" w:space="0"/>
            </w:tcBorders>
            <w:noWrap w:val="0"/>
            <w:vAlign w:val="top"/>
          </w:tcPr>
          <w:p w14:paraId="2EE30C42">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50" w:type="dxa"/>
            <w:gridSpan w:val="5"/>
            <w:tcBorders>
              <w:top w:val="single" w:color="auto" w:sz="4" w:space="0"/>
              <w:left w:val="single" w:color="auto" w:sz="4" w:space="0"/>
              <w:bottom w:val="single" w:color="auto" w:sz="4" w:space="0"/>
              <w:right w:val="single" w:color="auto" w:sz="4" w:space="0"/>
            </w:tcBorders>
            <w:noWrap w:val="0"/>
            <w:vAlign w:val="top"/>
          </w:tcPr>
          <w:p w14:paraId="421367EF">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828" w:type="dxa"/>
            <w:tcBorders>
              <w:top w:val="single" w:color="auto" w:sz="4" w:space="0"/>
              <w:left w:val="single" w:color="auto" w:sz="4" w:space="0"/>
              <w:bottom w:val="single" w:color="auto" w:sz="4" w:space="0"/>
              <w:right w:val="single" w:color="auto" w:sz="4" w:space="0"/>
            </w:tcBorders>
            <w:noWrap w:val="0"/>
            <w:vAlign w:val="top"/>
          </w:tcPr>
          <w:p w14:paraId="4D6870EC">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r>
      <w:tr w14:paraId="362E6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exact"/>
          <w:jc w:val="center"/>
        </w:trPr>
        <w:tc>
          <w:tcPr>
            <w:tcW w:w="2008"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9B06DBF">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床位数</w:t>
            </w:r>
          </w:p>
          <w:p w14:paraId="149FEEB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（机构护理填写）</w:t>
            </w: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14:paraId="78862B1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总床位数</w:t>
            </w:r>
          </w:p>
        </w:tc>
        <w:tc>
          <w:tcPr>
            <w:tcW w:w="3650" w:type="dxa"/>
            <w:gridSpan w:val="10"/>
            <w:tcBorders>
              <w:top w:val="single" w:color="auto" w:sz="4" w:space="0"/>
              <w:left w:val="single" w:color="auto" w:sz="4" w:space="0"/>
              <w:bottom w:val="single" w:color="auto" w:sz="4" w:space="0"/>
              <w:right w:val="single" w:color="auto" w:sz="4" w:space="0"/>
            </w:tcBorders>
            <w:noWrap w:val="0"/>
            <w:vAlign w:val="center"/>
          </w:tcPr>
          <w:p w14:paraId="589C99C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拟</w:t>
            </w:r>
            <w:r>
              <w:rPr>
                <w:rFonts w:hint="eastAsia" w:ascii="宋体" w:hAnsi="宋体" w:eastAsia="宋体" w:cs="宋体"/>
                <w:sz w:val="21"/>
                <w:szCs w:val="21"/>
                <w:lang w:val="en-US" w:eastAsia="zh-CN"/>
              </w:rPr>
              <w:t>规划</w:t>
            </w:r>
            <w:r>
              <w:rPr>
                <w:rFonts w:hint="eastAsia" w:ascii="宋体" w:hAnsi="宋体" w:eastAsia="宋体" w:cs="宋体"/>
                <w:sz w:val="21"/>
                <w:szCs w:val="21"/>
              </w:rPr>
              <w:t>护理</w:t>
            </w:r>
            <w:r>
              <w:rPr>
                <w:rFonts w:hint="eastAsia" w:ascii="宋体" w:hAnsi="宋体" w:eastAsia="宋体" w:cs="宋体"/>
                <w:sz w:val="21"/>
                <w:szCs w:val="21"/>
                <w:lang w:val="en-US" w:eastAsia="zh-CN"/>
              </w:rPr>
              <w:t>专</w:t>
            </w:r>
            <w:r>
              <w:rPr>
                <w:rFonts w:hint="eastAsia" w:ascii="宋体" w:hAnsi="宋体" w:eastAsia="宋体" w:cs="宋体"/>
                <w:sz w:val="21"/>
                <w:szCs w:val="21"/>
              </w:rPr>
              <w:t>区床位数</w:t>
            </w:r>
          </w:p>
        </w:tc>
      </w:tr>
      <w:tr w14:paraId="7BD5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exact"/>
          <w:jc w:val="center"/>
        </w:trPr>
        <w:tc>
          <w:tcPr>
            <w:tcW w:w="2008"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6B48604">
            <w:pPr>
              <w:keepNext w:val="0"/>
              <w:keepLines w:val="0"/>
              <w:pageBreakBefore w:val="0"/>
              <w:kinsoku/>
              <w:wordWrap/>
              <w:overflowPunct/>
              <w:topLinePunct w:val="0"/>
              <w:autoSpaceDE/>
              <w:autoSpaceDN/>
              <w:bidi w:val="0"/>
              <w:adjustRightInd/>
              <w:snapToGrid/>
              <w:spacing w:line="240" w:lineRule="exact"/>
              <w:textAlignment w:val="auto"/>
              <w:rPr>
                <w:rFonts w:hint="eastAsia" w:ascii="宋体" w:hAnsi="宋体" w:eastAsia="宋体" w:cs="宋体"/>
                <w:sz w:val="21"/>
                <w:szCs w:val="21"/>
              </w:rPr>
            </w:pP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14:paraId="0013F5A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c>
          <w:tcPr>
            <w:tcW w:w="3650" w:type="dxa"/>
            <w:gridSpan w:val="10"/>
            <w:tcBorders>
              <w:top w:val="single" w:color="auto" w:sz="4" w:space="0"/>
              <w:left w:val="single" w:color="auto" w:sz="4" w:space="0"/>
              <w:bottom w:val="single" w:color="auto" w:sz="4" w:space="0"/>
              <w:right w:val="single" w:color="auto" w:sz="4" w:space="0"/>
            </w:tcBorders>
            <w:noWrap w:val="0"/>
            <w:vAlign w:val="center"/>
          </w:tcPr>
          <w:p w14:paraId="4C4CCFD0">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rPr>
            </w:pPr>
          </w:p>
        </w:tc>
      </w:tr>
    </w:tbl>
    <w:p w14:paraId="4A2ABF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p w14:paraId="7B68A8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highlight w:val="none"/>
          <w:lang w:val="en-US" w:eastAsia="zh-CN"/>
        </w:rPr>
      </w:pPr>
    </w:p>
    <w:sectPr>
      <w:footerReference r:id="rId3" w:type="default"/>
      <w:pgSz w:w="11906" w:h="16838"/>
      <w:pgMar w:top="2098" w:right="1474" w:bottom="1984" w:left="1587" w:header="851" w:footer="1559"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CB29C4-DD5D-4A6D-B6AA-F62A510E82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F3F3F892-C1F3-408B-A14C-624B5ABF0F10}"/>
  </w:font>
  <w:font w:name="方正小标宋_GBK">
    <w:panose1 w:val="03000509000000000000"/>
    <w:charset w:val="86"/>
    <w:family w:val="script"/>
    <w:pitch w:val="default"/>
    <w:sig w:usb0="00000001" w:usb1="080E0000" w:usb2="00000000" w:usb3="00000000" w:csb0="00040000" w:csb1="00000000"/>
    <w:embedRegular r:id="rId3" w:fontKey="{C35597E4-EC8F-4F29-9D3E-EC8BD6497AD6}"/>
  </w:font>
  <w:font w:name="微软雅黑">
    <w:panose1 w:val="020B0503020204020204"/>
    <w:charset w:val="86"/>
    <w:family w:val="auto"/>
    <w:pitch w:val="default"/>
    <w:sig w:usb0="80000287" w:usb1="2ACF3C50" w:usb2="00000016" w:usb3="00000000" w:csb0="0004001F" w:csb1="00000000"/>
    <w:embedRegular r:id="rId4" w:fontKey="{D65C28C0-B82D-42EF-AFFB-8136237B8683}"/>
  </w:font>
  <w:font w:name="方正小标宋简体">
    <w:panose1 w:val="03000509000000000000"/>
    <w:charset w:val="86"/>
    <w:family w:val="auto"/>
    <w:pitch w:val="default"/>
    <w:sig w:usb0="00000001" w:usb1="080E0000" w:usb2="00000000" w:usb3="00000000" w:csb0="00040000" w:csb1="00000000"/>
    <w:embedRegular r:id="rId5" w:fontKey="{5617699C-8C3A-48DA-9A72-053D48C445B3}"/>
  </w:font>
  <w:font w:name="WPSEMBED1">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5798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2519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2519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E1B697">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2.85pt;mso-position-horizontal:outside;mso-position-horizontal-relative:margin;z-index:251659264;mso-width-relative:page;mso-height-relative:page;" filled="f" stroked="f" coordsize="21600,21600" o:gfxdata="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WTjdL9UAAAAFAQAADwAAAAAAAAABACAAAAAiAAAAZHJzL2Rvd25yZXYu&#10;eG1sUEsBAhQAFAAAAAgAh07iQArOJmM3AgAAYgQAAA4AAAAAAAAAAQAgAAAAJAEAAGRycy9lMm9E&#10;b2MueG1sUEsFBgAAAAAGAAYAWQEAAM0FAAAAAA==&#10;">
              <v:fill on="f" focussize="0,0"/>
              <v:stroke on="f" weight="0.5pt"/>
              <v:imagedata o:title=""/>
              <o:lock v:ext="edit" aspectratio="f"/>
              <v:textbox inset="0mm,0mm,0mm,0mm" style="mso-fit-shape-to-text:t;">
                <w:txbxContent>
                  <w:p w14:paraId="1BE1B697">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319DF"/>
    <w:rsid w:val="028B18FB"/>
    <w:rsid w:val="04F91D6B"/>
    <w:rsid w:val="0A61161A"/>
    <w:rsid w:val="0DF70148"/>
    <w:rsid w:val="104C0126"/>
    <w:rsid w:val="106F63B8"/>
    <w:rsid w:val="109A2892"/>
    <w:rsid w:val="11252F1A"/>
    <w:rsid w:val="12C7395B"/>
    <w:rsid w:val="14C16724"/>
    <w:rsid w:val="193261D5"/>
    <w:rsid w:val="197E766C"/>
    <w:rsid w:val="1B1C538E"/>
    <w:rsid w:val="1E4C7792"/>
    <w:rsid w:val="20052895"/>
    <w:rsid w:val="20A0436C"/>
    <w:rsid w:val="226101FD"/>
    <w:rsid w:val="25366A82"/>
    <w:rsid w:val="27D42346"/>
    <w:rsid w:val="28B9421C"/>
    <w:rsid w:val="2B9176D3"/>
    <w:rsid w:val="2BE2330D"/>
    <w:rsid w:val="2BE53078"/>
    <w:rsid w:val="2CDA410B"/>
    <w:rsid w:val="2DA07DEB"/>
    <w:rsid w:val="30D2231F"/>
    <w:rsid w:val="33DB7B54"/>
    <w:rsid w:val="37F319DF"/>
    <w:rsid w:val="383438BF"/>
    <w:rsid w:val="39070FD4"/>
    <w:rsid w:val="3BC277B8"/>
    <w:rsid w:val="3CEC227C"/>
    <w:rsid w:val="3EA82911"/>
    <w:rsid w:val="4288525F"/>
    <w:rsid w:val="43E75C8A"/>
    <w:rsid w:val="469F0A9E"/>
    <w:rsid w:val="46A61E2C"/>
    <w:rsid w:val="46D71FE6"/>
    <w:rsid w:val="478B2DD0"/>
    <w:rsid w:val="4903379B"/>
    <w:rsid w:val="4ADC6957"/>
    <w:rsid w:val="4B157580"/>
    <w:rsid w:val="4B424305"/>
    <w:rsid w:val="4BF77F8A"/>
    <w:rsid w:val="4CC67EBB"/>
    <w:rsid w:val="4EA62EA6"/>
    <w:rsid w:val="50632B3C"/>
    <w:rsid w:val="50CB6DA3"/>
    <w:rsid w:val="589F66DB"/>
    <w:rsid w:val="59527BF2"/>
    <w:rsid w:val="59FF7EC0"/>
    <w:rsid w:val="5CFC40FC"/>
    <w:rsid w:val="5E48511F"/>
    <w:rsid w:val="649B434A"/>
    <w:rsid w:val="677D7080"/>
    <w:rsid w:val="68224C33"/>
    <w:rsid w:val="6C496C32"/>
    <w:rsid w:val="6D2E4BAB"/>
    <w:rsid w:val="6E875CDD"/>
    <w:rsid w:val="6EBF0A19"/>
    <w:rsid w:val="6F77F107"/>
    <w:rsid w:val="72F71196"/>
    <w:rsid w:val="74965C1D"/>
    <w:rsid w:val="77F39B63"/>
    <w:rsid w:val="7B4F3F66"/>
    <w:rsid w:val="7BE418FB"/>
    <w:rsid w:val="BFFECA3B"/>
    <w:rsid w:val="C9FF431B"/>
    <w:rsid w:val="F3B44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rFonts w:ascii="Calibri" w:hAnsi="Calibri" w:eastAsia="宋体"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2240a935-8b93-4926-9c04-a40baa834e01</errorID>
      <errorWord>长护</errorWord>
      <group>L1_Word</group>
      <groupName>字词问题</groupName>
      <ability>L2_Typo</ability>
      <abilityName>字词错误</abilityName>
      <candidateList>
        <item>看护</item>
      </candidateList>
      <explain/>
      <paraID> 9CAC3BE</paraID>
      <start>2</start>
      <end>4</end>
      <status>ignored</status>
      <modifiedWord/>
      <trackRevisions>false</trackRevisions>
    </reviewItem>
    <reviewItem>
      <errorID>7e352be2-b4d0-4487-b28e-68598cbb18b9</errorID>
      <errorWord>或者</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4AA43FDD</paraID>
      <start>5</start>
      <end>6</end>
      <status>modified</status>
      <modifiedWord>或</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315680-55f3-46ae-8a6b-6c04888018bb}">
  <ds:schemaRefs/>
</ds:datastoreItem>
</file>

<file path=docProps/app.xml><?xml version="1.0" encoding="utf-8"?>
<Properties xmlns="http://schemas.openxmlformats.org/officeDocument/2006/extended-properties" xmlns:vt="http://schemas.openxmlformats.org/officeDocument/2006/docPropsVTypes">
  <Template>Normal.dotm</Template>
  <Pages>25</Pages>
  <Words>2356</Words>
  <Characters>2378</Characters>
  <Lines>0</Lines>
  <Paragraphs>0</Paragraphs>
  <TotalTime>0</TotalTime>
  <ScaleCrop>false</ScaleCrop>
  <LinksUpToDate>false</LinksUpToDate>
  <CharactersWithSpaces>2388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2026-03-01T01:37:00Z</dcterms:created>
  <dc:creator>123</dc:creator>
  <cp:lastModifiedBy>123</cp:lastModifiedBy>
  <dcterms:modified xsi:type="dcterms:W3CDTF">2026-05-11T08:43:45Z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C535D8D5A38C42A0BE3961BFD50B4C9D_13</vt:lpwstr>
  </property>
  <property fmtid="{D5CDD505-2E9C-101B-9397-08002B2CF9AE}" pid="4" name="KSOTemplateDocerSaveRecord">
    <vt:lpwstr>eyJoZGlkIjoiNDE3N2IxYmI5MjUzOTNjNjIwY2VlZDM0ZjFmYTI3MmIiLCJ1c2VySWQiOiIyODMzMDQ1NTEifQ==</vt:lpwstr>
  </property>
</Properties>
</file>