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103EF">
      <w:pPr>
        <w:keepNext w:val="0"/>
        <w:keepLines w:val="0"/>
        <w:pageBreakBefore w:val="0"/>
        <w:widowControl w:val="0"/>
        <w:kinsoku/>
        <w:wordWrap/>
        <w:overflowPunct/>
        <w:topLinePunct w:val="0"/>
        <w:autoSpaceDE/>
        <w:autoSpaceDN/>
        <w:bidi w:val="0"/>
        <w:adjustRightInd w:val="0"/>
        <w:snapToGrid w:val="0"/>
        <w:spacing w:line="640" w:lineRule="exact"/>
        <w:jc w:val="center"/>
        <w:textAlignment w:val="auto"/>
        <w:rPr>
          <w:rFonts w:hint="eastAsia" w:ascii="方正小标宋简体" w:hAnsi="方正小标宋简体" w:eastAsia="方正小标宋简体" w:cs="方正小标宋简体"/>
          <w:spacing w:val="0"/>
          <w:sz w:val="44"/>
          <w:szCs w:val="44"/>
          <w:lang w:val="en-US" w:eastAsia="zh-CN"/>
        </w:rPr>
      </w:pPr>
    </w:p>
    <w:p w14:paraId="230C330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赣州市医疗保障局关于开展医疗服务价格</w:t>
      </w:r>
    </w:p>
    <w:p w14:paraId="4CB6ACF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规范治理（第五批）的通知</w:t>
      </w:r>
    </w:p>
    <w:p w14:paraId="4C0AFCFC">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（征求意见稿）</w:t>
      </w:r>
    </w:p>
    <w:p w14:paraId="58FAD41E">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auto"/>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6270BA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经研究，现将《江西省医疗保障局关于开展医疗服务价格规范治理（第五批）的通知》转发给你们，并就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r>
        <w:rPr>
          <w:rFonts w:hint="eastAsia" w:ascii="宋体" w:hAnsi="宋体" w:eastAsia="仿宋_GB2312"/>
          <w:color w:val="auto"/>
          <w:sz w:val="32"/>
          <w:szCs w:val="32"/>
          <w:lang w:val="en-US" w:eastAsia="zh-CN"/>
        </w:rPr>
        <w:t>请认真贯彻执行</w:t>
      </w:r>
      <w:r>
        <w:rPr>
          <w:rFonts w:hint="eastAsia" w:ascii="宋体" w:hAnsi="宋体" w:eastAsia="仿宋_GB2312"/>
          <w:color w:val="auto"/>
          <w:sz w:val="32"/>
          <w:szCs w:val="32"/>
          <w:lang w:eastAsia="zh-CN"/>
        </w:rPr>
        <w:t>。</w:t>
      </w:r>
    </w:p>
    <w:p w14:paraId="67523E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第五批治理项目范围</w:t>
      </w:r>
    </w:p>
    <w:p w14:paraId="5FE6974B">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血液透析费、血液滤过费、血液透析滤过费、血液透析灌流费等4类泌尿系统项目以及C反应蛋白测定、13碳尿素呼气试验等2个检验类项目。</w:t>
      </w:r>
    </w:p>
    <w:p w14:paraId="787058AA">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二、治理要求</w:t>
      </w:r>
    </w:p>
    <w:p w14:paraId="70758B0F">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1.按照《</w:t>
      </w:r>
      <w:r>
        <w:rPr>
          <w:rFonts w:hint="eastAsia" w:ascii="仿宋_GB2312" w:hAnsi="仿宋_GB2312" w:eastAsia="仿宋_GB2312" w:cs="仿宋_GB2312"/>
          <w:sz w:val="32"/>
          <w:szCs w:val="32"/>
          <w:lang w:val="en-US" w:eastAsia="zh-CN"/>
        </w:rPr>
        <w:t>泌尿系统医疗服务价格项目立项指南（试行）</w:t>
      </w:r>
      <w:r>
        <w:rPr>
          <w:rFonts w:hint="eastAsia" w:ascii="仿宋_GB2312" w:hAnsi="仿宋_GB2312" w:eastAsia="仿宋_GB2312" w:cs="仿宋_GB2312"/>
          <w:kern w:val="2"/>
          <w:sz w:val="32"/>
          <w:szCs w:val="32"/>
          <w:lang w:val="en-US" w:eastAsia="zh-CN" w:bidi="ar-SA"/>
        </w:rPr>
        <w:t>》要求，对部分泌尿系统价格项目进行规范整合，详见附件1、2。</w:t>
      </w:r>
    </w:p>
    <w:p w14:paraId="27FAC5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2.规范C反应蛋白测定和13碳尿素呼气试验2个检验类价格项目，详见附件3。</w:t>
      </w:r>
    </w:p>
    <w:p w14:paraId="500ED2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3.规范</w:t>
      </w:r>
      <w:r>
        <w:rPr>
          <w:rFonts w:hint="eastAsia" w:ascii="仿宋_GB2312" w:hAnsi="仿宋_GB2312" w:eastAsia="仿宋_GB2312" w:cs="仿宋_GB2312"/>
          <w:color w:val="auto"/>
          <w:kern w:val="2"/>
          <w:sz w:val="32"/>
          <w:szCs w:val="32"/>
          <w:lang w:val="en-US" w:eastAsia="zh-CN" w:bidi="ar-SA"/>
        </w:rPr>
        <w:t>治理价格为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w:t>
      </w:r>
      <w:r>
        <w:rPr>
          <w:rFonts w:hint="eastAsia" w:ascii="仿宋_GB2312" w:hAnsi="仿宋_GB2312" w:eastAsia="仿宋_GB2312" w:cs="仿宋_GB2312"/>
          <w:color w:val="auto"/>
          <w:kern w:val="2"/>
          <w:sz w:val="32"/>
          <w:szCs w:val="32"/>
          <w:lang w:val="en-US" w:eastAsia="zh-CN" w:bidi="ar-SA"/>
        </w:rPr>
        <w:t>医疗机构最高政府指导价，医疗机构可根据成本变化情况自主向下浮动价格，</w:t>
      </w:r>
      <w:r>
        <w:rPr>
          <w:rFonts w:hint="eastAsia" w:ascii="仿宋_GB2312" w:hAnsi="仿宋_GB2312" w:eastAsia="仿宋_GB2312" w:cs="仿宋_GB2312"/>
          <w:kern w:val="2"/>
          <w:sz w:val="32"/>
          <w:szCs w:val="32"/>
          <w:lang w:val="en-US" w:eastAsia="zh-CN" w:bidi="ar-SA"/>
        </w:rPr>
        <w:t>血液透析费、血液滤过费、血液透析滤过费、血液透析灌流费4个价格项目耗材不得另行收费，确保患者费用负担不增加</w:t>
      </w:r>
      <w:r>
        <w:rPr>
          <w:rFonts w:hint="eastAsia" w:ascii="仿宋_GB2312" w:hAnsi="仿宋_GB2312" w:eastAsia="仿宋_GB2312" w:cs="仿宋_GB2312"/>
          <w:color w:val="auto"/>
          <w:kern w:val="2"/>
          <w:sz w:val="32"/>
          <w:szCs w:val="32"/>
          <w:lang w:val="en-US" w:eastAsia="zh-CN" w:bidi="ar-SA"/>
        </w:rPr>
        <w:t>。</w:t>
      </w:r>
    </w:p>
    <w:p w14:paraId="5151BA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4.要密切关注价格规范治理后医疗服务量、医疗总费用等关键指标的变化情况，建立动态监测机制。加强与相关部门协同联动，做好舆情监测与应对预案，及时妥善处置可能出现的舆情风险，确保规范治理价格项目平稳实施。</w:t>
      </w:r>
    </w:p>
    <w:p w14:paraId="22A730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三、执行时间</w:t>
      </w:r>
    </w:p>
    <w:p w14:paraId="4DF6D7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本通知自</w:t>
      </w:r>
      <w:r>
        <w:rPr>
          <w:rFonts w:hint="eastAsia" w:ascii="仿宋_GB2312" w:hAnsi="仿宋_GB2312" w:eastAsia="仿宋_GB2312" w:cs="仿宋_GB2312"/>
          <w:sz w:val="32"/>
          <w:szCs w:val="32"/>
          <w:lang w:val="e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日起执行。此前价格</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与本通知不一致的，以本通知为准。</w:t>
      </w:r>
      <w:r>
        <w:rPr>
          <w:rFonts w:hint="eastAsia" w:ascii="Times New Roman" w:hAnsi="Times New Roman" w:eastAsia="仿宋_GB2312" w:cs="Nimbus Roman"/>
          <w:color w:val="auto"/>
          <w:sz w:val="32"/>
          <w:szCs w:val="32"/>
          <w:lang w:val="en-US" w:eastAsia="zh-CN"/>
        </w:rPr>
        <w:t>如遇国家或省出台新政策，按新政策执行。</w:t>
      </w:r>
    </w:p>
    <w:p w14:paraId="3C97B9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1.部分泌尿系统医疗服务价格项目规范整合表</w:t>
      </w:r>
    </w:p>
    <w:p w14:paraId="6784A9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2.部分泌尿系统医疗服务价格项目废止表</w:t>
      </w:r>
    </w:p>
    <w:p w14:paraId="0D746242">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3.部分医疗服务价格项目修订表</w:t>
      </w:r>
    </w:p>
    <w:p w14:paraId="55EA79FF">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0F518DD2">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赣州市医疗保障</w:t>
      </w:r>
      <w:r>
        <w:rPr>
          <w:rFonts w:hint="eastAsia" w:ascii="仿宋_GB2312" w:hAnsi="仿宋_GB2312" w:eastAsia="仿宋_GB2312" w:cs="仿宋_GB2312"/>
          <w:sz w:val="32"/>
          <w:szCs w:val="32"/>
          <w:lang w:eastAsia="zh-CN"/>
        </w:rPr>
        <w:t>局</w:t>
      </w:r>
    </w:p>
    <w:p w14:paraId="03EFD585">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val="en-US" w:eastAsia="zh-CN"/>
        </w:rPr>
        <w:t>2025年7月  日</w:t>
      </w:r>
    </w:p>
    <w:p w14:paraId="525B3392">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lang w:val="en-US" w:eastAsia="zh-CN"/>
        </w:rPr>
      </w:pPr>
    </w:p>
    <w:p w14:paraId="2D0AC1C7">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lang w:val="en-US" w:eastAsia="zh-CN"/>
        </w:rPr>
      </w:pPr>
    </w:p>
    <w:p w14:paraId="5E7CEAC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抄送：市卫生健康委、市市场监督管理局。</w:t>
      </w:r>
    </w:p>
    <w:p w14:paraId="616F714A">
      <w:pPr>
        <w:keepNext w:val="0"/>
        <w:keepLines w:val="0"/>
        <w:pageBreakBefore w:val="0"/>
        <w:kinsoku/>
        <w:wordWrap/>
        <w:overflowPunct/>
        <w:topLinePunct w:val="0"/>
        <w:autoSpaceDE/>
        <w:autoSpaceDN/>
        <w:bidi w:val="0"/>
        <w:adjustRightInd/>
        <w:snapToGrid/>
        <w:spacing w:line="560" w:lineRule="exact"/>
        <w:ind w:firstLine="4200" w:firstLineChars="1500"/>
        <w:textAlignment w:val="auto"/>
        <w:rPr>
          <w:rFonts w:hint="default" w:ascii="仿宋_GB2312" w:hAnsi="仿宋_GB2312" w:eastAsia="仿宋_GB2312" w:cs="仿宋_GB2312"/>
          <w:sz w:val="28"/>
          <w:szCs w:val="28"/>
          <w:lang w:val="en-US" w:eastAsia="zh-CN"/>
        </w:rPr>
        <w:sectPr>
          <w:footerReference r:id="rId3" w:type="default"/>
          <w:pgSz w:w="11906" w:h="16838"/>
          <w:pgMar w:top="2098" w:right="1474" w:bottom="1984" w:left="1587" w:header="851" w:footer="992" w:gutter="0"/>
          <w:cols w:space="0" w:num="1"/>
          <w:titlePg/>
          <w:rtlGutter w:val="0"/>
          <w:docGrid w:type="lines" w:linePitch="312" w:charSpace="0"/>
        </w:sectPr>
      </w:pPr>
    </w:p>
    <w:p w14:paraId="4EDAFEE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70DFD848">
      <w:pPr>
        <w:keepNext w:val="0"/>
        <w:keepLines w:val="0"/>
        <w:pageBreakBefore w:val="0"/>
        <w:widowControl w:val="0"/>
        <w:kinsoku/>
        <w:wordWrap w:val="0"/>
        <w:overflowPunct/>
        <w:topLinePunct w:val="0"/>
        <w:autoSpaceDE/>
        <w:autoSpaceDN/>
        <w:bidi w:val="0"/>
        <w:adjustRightInd/>
        <w:snapToGrid/>
        <w:spacing w:before="163" w:beforeLines="50"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部分泌尿系统医疗服务价格项目规范整合表</w:t>
      </w:r>
    </w:p>
    <w:tbl>
      <w:tblPr>
        <w:tblStyle w:val="9"/>
        <w:tblW w:w="15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1"/>
      </w:tblGrid>
      <w:tr w14:paraId="15FD8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01" w:type="dxa"/>
            <w:noWrap w:val="0"/>
            <w:vAlign w:val="center"/>
          </w:tcPr>
          <w:p w14:paraId="60114C3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使用说明：</w:t>
            </w:r>
          </w:p>
          <w:p w14:paraId="5F0D06D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1.本指南以泌尿系统为重点，按照泌尿系统诊查、治疗、手术相关主要环节的服务产出设立医疗服务价格项目。</w:t>
            </w:r>
          </w:p>
          <w:p w14:paraId="384EB47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2.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服务产出相同的一类项目在操作层面存在差异，但在价格项目和定价水平层面具备合并同类项的条件，立项指南对此进行了合并。地方医保部门制定泌尿系统医疗服务项目价格时，要体现技术劳务价值，使收费水平覆盖绝大部分的差异化操作；立项指南所定价格属于政府指导价为最高限价，下浮不限；同时，医疗机构申报的技术改良进步项目，可采取“现有项目兼容”方式简化处理，无需申报新增医疗服务价格项目，经向本地区医保部门备案后可按照对应的项目执行。</w:t>
            </w:r>
          </w:p>
          <w:p w14:paraId="3D824B5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3.本指南所称的“价格构成”，指项目价格应涵盖的各类资源消耗，用于确定计价单元的边界，是省市级医疗保障部门制定调整项目价格考虑的测算因子，不应作为临床技术标准理解，不是实际操作方式、路径、步骤、程序的强制性要求，价格构成中包含但临床实践中非必要、未发生的，无需强制要求公立医疗机构减计费用。所列“设备投入”包括但不限于操作设备、器具及固定资产投入。</w:t>
            </w:r>
          </w:p>
          <w:p w14:paraId="544D34C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4.本指南所称“加收项”，指同一项目以不同方式提供或在不同场景应用时，确有必要制定差异化收费标准而细分的一类子项，包括在原项目价格基础上增加或减少收费的情况，具体的加/减收标准（加/减收率或加/减收金额）由省市级医疗保障部门依权限制定；实际应用中，同时涉及多个加收项的，以项目单价为基础计算相应的加/减收水平后，据实收费。</w:t>
            </w:r>
          </w:p>
          <w:p w14:paraId="618BD0B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5.本指南所称“扩展项”，指同一项目下以不同方式提供或在不同场景应用时，只扩展价格项目适用范围、不额外加价的一类子项，子项的价格按主项目执行。</w:t>
            </w:r>
          </w:p>
          <w:p w14:paraId="204A92F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6.本指南所称的“基本物耗”指原则上限于不应或不必要与医疗服务项目分割的易耗品，包括但不限于各类消杀灭菌用品、储存用品、清洁用品、个人防护用品、垃圾处理用品、滑石粉、标签、防渗漏垫、中单、护（尿）垫、棉球、棉签、纱布（垫）、治疗护理盘（包）、治疗巾（单）、手术巾（单）、手术包、普通注射器、可复用的操作器具、冲洗工具、报告打印耗材、碘伏帽、肝素帽、血透置换液（成品或自制）、血透透析液、软件（版权、开发、购买）成本等。基本物耗成本计入项目价格，不另行收费。除基本物耗以外的其他耗材，按照实际采购价格零差率销售。患者居家腹透，所需的碘伏帽、透析液等药品耗材，医疗机构可按零差率要求单独收费，无需捆绑价格项目。</w:t>
            </w:r>
          </w:p>
          <w:p w14:paraId="176A303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7.涉及“复杂”等内涵未尽的表述，除立项指南中已明确的情形外，医院实践中按照“复杂”情形计费的，应以国家级技术规范、临床指南或专家共识中的明确定性为前提，下同。</w:t>
            </w:r>
          </w:p>
          <w:p w14:paraId="56675B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8.本指南价格构成中所称的“穿刺”为主项操作涉及的必要穿刺步骤。</w:t>
            </w:r>
          </w:p>
          <w:p w14:paraId="176E15D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9.本指南中涉及“包括……”“…… 等”的，属于开放型表述，所指对象不仅局限于表述中列明的事项，也包括未列明的同类事项。</w:t>
            </w:r>
          </w:p>
          <w:p w14:paraId="431F721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10.本指南中手术项目若需病理取样，地方定价时应考虑在原项目的价格构成中包含标本的留取和送检。</w:t>
            </w:r>
          </w:p>
          <w:p w14:paraId="2388AEB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11.本指南中未尽事项，可在辅助操作类等其他立项指南中单独列示，各地医保部门可暂按现行价格项目收费。</w:t>
            </w:r>
          </w:p>
          <w:p w14:paraId="51FC9BE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12.本指南中价格项目可应用人工智能辅助进行的，可直接按主项目收费，不同时收费。</w:t>
            </w:r>
          </w:p>
          <w:p w14:paraId="7198482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13.本指南所称的“腹膜透析操作训练费”是指患者在医疗机构院内当面接受专业人员医学指导的情况；患者居家，请医疗机构派专业人员上门提供医学指导的情况，医疗机构在收取“腹膜透析操作训练费”费用的同时，可据实加收“上门服务费”。医疗机构以录播视频、音频等方式提供非实时的医学指导，不得收取“居家腹膜透析操作训练费”。</w:t>
            </w:r>
          </w:p>
          <w:p w14:paraId="516FF39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仿宋_GB2312" w:hAnsi="仿宋_GB2312" w:eastAsia="仿宋_GB2312" w:cs="仿宋_GB2312"/>
                <w:i w:val="0"/>
                <w:color w:val="000000"/>
                <w:kern w:val="0"/>
                <w:sz w:val="20"/>
                <w:szCs w:val="20"/>
                <w:u w:val="none"/>
                <w:lang w:val="en-US" w:eastAsia="zh-CN" w:bidi="ar"/>
              </w:rPr>
              <w:t>14.本指南中手术类项目服务对象为儿童时，统一落实儿童加收政策（以下简称“儿童加收”），加收比例或金额由各省医保局根据实际情况确定。手术类项目的具体范围以《全国医疗服务项目技术规范》的分类为准，对于立项指南同时映射技术规范中的手术类项目和治疗类项目的主项目，按手术类落实儿童加收政策；其他非手术类项目实行儿童加收范围，以立项指南加收项为准。本指南所称的“儿童”，指6周岁及以下，周岁的计算方法以法律的相关规定为准”。</w:t>
            </w:r>
          </w:p>
        </w:tc>
      </w:tr>
    </w:tbl>
    <w:p w14:paraId="63BC7849"/>
    <w:tbl>
      <w:tblPr>
        <w:tblStyle w:val="9"/>
        <w:tblpPr w:leftFromText="180" w:rightFromText="180" w:vertAnchor="text" w:horzAnchor="page" w:tblpX="906" w:tblpY="18"/>
        <w:tblOverlap w:val="never"/>
        <w:tblW w:w="14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738"/>
        <w:gridCol w:w="779"/>
        <w:gridCol w:w="960"/>
        <w:gridCol w:w="1845"/>
        <w:gridCol w:w="3465"/>
        <w:gridCol w:w="840"/>
        <w:gridCol w:w="780"/>
        <w:gridCol w:w="795"/>
        <w:gridCol w:w="810"/>
        <w:gridCol w:w="2655"/>
        <w:gridCol w:w="600"/>
      </w:tblGrid>
      <w:tr w14:paraId="2F62B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blHeader/>
        </w:trPr>
        <w:tc>
          <w:tcPr>
            <w:tcW w:w="555" w:type="dxa"/>
            <w:noWrap w:val="0"/>
            <w:vAlign w:val="center"/>
          </w:tcPr>
          <w:p w14:paraId="7D2973E2">
            <w:pPr>
              <w:keepNext w:val="0"/>
              <w:keepLines w:val="0"/>
              <w:pageBreakBefore w:val="0"/>
              <w:widowControl w:val="0"/>
              <w:kinsoku/>
              <w:wordWrap/>
              <w:overflowPunct/>
              <w:topLinePunct w:val="0"/>
              <w:autoSpaceDE/>
              <w:autoSpaceDN/>
              <w:bidi w:val="0"/>
              <w:adjustRightInd/>
              <w:snapToGrid/>
              <w:spacing w:line="0" w:lineRule="atLeast"/>
              <w:ind w:left="-63" w:leftChars="-30" w:right="-63" w:rightChars="-30"/>
              <w:jc w:val="center"/>
              <w:textAlignment w:val="auto"/>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序号</w:t>
            </w:r>
          </w:p>
        </w:tc>
        <w:tc>
          <w:tcPr>
            <w:tcW w:w="738" w:type="dxa"/>
            <w:noWrap w:val="0"/>
            <w:vAlign w:val="center"/>
          </w:tcPr>
          <w:p w14:paraId="647859D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归集口径</w:t>
            </w:r>
          </w:p>
        </w:tc>
        <w:tc>
          <w:tcPr>
            <w:tcW w:w="779" w:type="dxa"/>
            <w:noWrap w:val="0"/>
            <w:vAlign w:val="center"/>
          </w:tcPr>
          <w:p w14:paraId="486ABBE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项目编码</w:t>
            </w:r>
          </w:p>
        </w:tc>
        <w:tc>
          <w:tcPr>
            <w:tcW w:w="960" w:type="dxa"/>
            <w:noWrap w:val="0"/>
            <w:vAlign w:val="center"/>
          </w:tcPr>
          <w:p w14:paraId="3FE0D20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项目名称</w:t>
            </w:r>
          </w:p>
        </w:tc>
        <w:tc>
          <w:tcPr>
            <w:tcW w:w="1845" w:type="dxa"/>
            <w:noWrap w:val="0"/>
            <w:vAlign w:val="center"/>
          </w:tcPr>
          <w:p w14:paraId="433EE90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服务产出</w:t>
            </w:r>
          </w:p>
        </w:tc>
        <w:tc>
          <w:tcPr>
            <w:tcW w:w="3465" w:type="dxa"/>
            <w:noWrap w:val="0"/>
            <w:vAlign w:val="center"/>
          </w:tcPr>
          <w:p w14:paraId="4D29395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价格构成</w:t>
            </w:r>
          </w:p>
        </w:tc>
        <w:tc>
          <w:tcPr>
            <w:tcW w:w="840" w:type="dxa"/>
            <w:noWrap w:val="0"/>
            <w:vAlign w:val="center"/>
          </w:tcPr>
          <w:p w14:paraId="703209B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计价单位</w:t>
            </w:r>
          </w:p>
        </w:tc>
        <w:tc>
          <w:tcPr>
            <w:tcW w:w="780" w:type="dxa"/>
            <w:noWrap w:val="0"/>
            <w:vAlign w:val="center"/>
          </w:tcPr>
          <w:p w14:paraId="45EAA8B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三级</w:t>
            </w:r>
          </w:p>
          <w:p w14:paraId="6C4F677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价格</w:t>
            </w:r>
          </w:p>
          <w:p w14:paraId="105BF69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（元）</w:t>
            </w:r>
          </w:p>
        </w:tc>
        <w:tc>
          <w:tcPr>
            <w:tcW w:w="795" w:type="dxa"/>
            <w:shd w:val="clear" w:color="auto" w:fill="auto"/>
            <w:noWrap w:val="0"/>
            <w:vAlign w:val="center"/>
          </w:tcPr>
          <w:p w14:paraId="5329CF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二级价格（元）</w:t>
            </w:r>
          </w:p>
        </w:tc>
        <w:tc>
          <w:tcPr>
            <w:tcW w:w="810" w:type="dxa"/>
            <w:shd w:val="clear" w:color="auto" w:fill="auto"/>
            <w:noWrap w:val="0"/>
            <w:vAlign w:val="center"/>
          </w:tcPr>
          <w:p w14:paraId="7B1331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kern w:val="0"/>
                <w:sz w:val="22"/>
                <w:szCs w:val="22"/>
                <w:u w:val="none"/>
                <w:lang w:val="en-US" w:eastAsia="zh-CN" w:bidi="ar"/>
              </w:rPr>
            </w:pPr>
            <w:r>
              <w:rPr>
                <w:rFonts w:hint="eastAsia" w:ascii="黑体" w:hAnsi="黑体" w:eastAsia="黑体" w:cs="黑体"/>
                <w:i w:val="0"/>
                <w:iCs w:val="0"/>
                <w:color w:val="000000"/>
                <w:kern w:val="0"/>
                <w:sz w:val="22"/>
                <w:szCs w:val="22"/>
                <w:u w:val="none"/>
                <w:lang w:val="en-US" w:eastAsia="zh-CN" w:bidi="ar"/>
              </w:rPr>
              <w:t>一级价格（元）</w:t>
            </w:r>
          </w:p>
        </w:tc>
        <w:tc>
          <w:tcPr>
            <w:tcW w:w="2655" w:type="dxa"/>
            <w:noWrap w:val="0"/>
            <w:vAlign w:val="center"/>
          </w:tcPr>
          <w:p w14:paraId="2B44286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仿宋_GB2312" w:cs="仿宋_GB2312"/>
                <w:color w:val="000000" w:themeColor="text1"/>
                <w:sz w:val="20"/>
                <w:szCs w:val="20"/>
                <w:vertAlign w:val="baseline"/>
                <w:lang w:val="en-US" w:eastAsia="zh-CN"/>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计价说明</w:t>
            </w:r>
          </w:p>
        </w:tc>
        <w:tc>
          <w:tcPr>
            <w:tcW w:w="600" w:type="dxa"/>
            <w:noWrap w:val="0"/>
            <w:vAlign w:val="center"/>
          </w:tcPr>
          <w:p w14:paraId="5945749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pPr>
            <w:r>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t>医保支付类别</w:t>
            </w:r>
          </w:p>
        </w:tc>
      </w:tr>
      <w:tr w14:paraId="0F45B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1DA714D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w:t>
            </w:r>
          </w:p>
        </w:tc>
        <w:tc>
          <w:tcPr>
            <w:tcW w:w="738" w:type="dxa"/>
            <w:noWrap w:val="0"/>
            <w:vAlign w:val="center"/>
          </w:tcPr>
          <w:p w14:paraId="22D8D76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3BE5D22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013110000010000</w:t>
            </w:r>
          </w:p>
        </w:tc>
        <w:tc>
          <w:tcPr>
            <w:tcW w:w="960" w:type="dxa"/>
            <w:noWrap w:val="0"/>
            <w:vAlign w:val="center"/>
          </w:tcPr>
          <w:p w14:paraId="3654672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血液透析费</w:t>
            </w:r>
          </w:p>
        </w:tc>
        <w:tc>
          <w:tcPr>
            <w:tcW w:w="1845" w:type="dxa"/>
            <w:noWrap w:val="0"/>
            <w:vAlign w:val="center"/>
          </w:tcPr>
          <w:p w14:paraId="7BD392F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通过弥散和对流原理清除血液中过多水分和有害物质。</w:t>
            </w:r>
          </w:p>
        </w:tc>
        <w:tc>
          <w:tcPr>
            <w:tcW w:w="3465" w:type="dxa"/>
            <w:noWrap w:val="0"/>
            <w:vAlign w:val="center"/>
          </w:tcPr>
          <w:p w14:paraId="0858041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所定价格涵盖消毒、穿刺、安装设定、连接管路、监测、血液回输、加压止血、封管、处理用物等步骤所需的人力资源和基本物质资源消耗。</w:t>
            </w:r>
          </w:p>
        </w:tc>
        <w:tc>
          <w:tcPr>
            <w:tcW w:w="840" w:type="dxa"/>
            <w:noWrap w:val="0"/>
            <w:vAlign w:val="center"/>
          </w:tcPr>
          <w:p w14:paraId="23A3A27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19AB4E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399</w:t>
            </w:r>
          </w:p>
        </w:tc>
        <w:tc>
          <w:tcPr>
            <w:tcW w:w="795" w:type="dxa"/>
            <w:shd w:val="clear" w:color="auto" w:fill="auto"/>
            <w:noWrap w:val="0"/>
            <w:vAlign w:val="center"/>
          </w:tcPr>
          <w:p w14:paraId="028885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359</w:t>
            </w:r>
          </w:p>
        </w:tc>
        <w:tc>
          <w:tcPr>
            <w:tcW w:w="810" w:type="dxa"/>
            <w:shd w:val="clear" w:color="auto" w:fill="auto"/>
            <w:noWrap w:val="0"/>
            <w:vAlign w:val="center"/>
          </w:tcPr>
          <w:p w14:paraId="3523EA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319</w:t>
            </w:r>
          </w:p>
        </w:tc>
        <w:tc>
          <w:tcPr>
            <w:tcW w:w="2655" w:type="dxa"/>
            <w:noWrap w:val="0"/>
            <w:vAlign w:val="center"/>
          </w:tcPr>
          <w:p w14:paraId="057A09A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本项目中的“监测”指：血温、血压、在线清除率、血容量监测，医院未完成全部四项监测事项的，需按项据实减收5元</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项。</w:t>
            </w:r>
          </w:p>
        </w:tc>
        <w:tc>
          <w:tcPr>
            <w:tcW w:w="600" w:type="dxa"/>
            <w:noWrap w:val="0"/>
            <w:vAlign w:val="center"/>
          </w:tcPr>
          <w:p w14:paraId="20FB103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21C6B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555" w:type="dxa"/>
            <w:noWrap w:val="0"/>
            <w:vAlign w:val="center"/>
          </w:tcPr>
          <w:p w14:paraId="15C8F16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2</w:t>
            </w:r>
          </w:p>
        </w:tc>
        <w:tc>
          <w:tcPr>
            <w:tcW w:w="738" w:type="dxa"/>
            <w:noWrap w:val="0"/>
            <w:vAlign w:val="center"/>
          </w:tcPr>
          <w:p w14:paraId="6B263EC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2A0058A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013110000020000</w:t>
            </w:r>
          </w:p>
        </w:tc>
        <w:tc>
          <w:tcPr>
            <w:tcW w:w="960" w:type="dxa"/>
            <w:noWrap w:val="0"/>
            <w:vAlign w:val="center"/>
          </w:tcPr>
          <w:p w14:paraId="02D7EC7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血液滤过费</w:t>
            </w:r>
          </w:p>
        </w:tc>
        <w:tc>
          <w:tcPr>
            <w:tcW w:w="1845" w:type="dxa"/>
            <w:noWrap w:val="0"/>
            <w:vAlign w:val="center"/>
          </w:tcPr>
          <w:p w14:paraId="2A87101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通过对流原理清除血液中过多水分和有害物质。</w:t>
            </w:r>
          </w:p>
        </w:tc>
        <w:tc>
          <w:tcPr>
            <w:tcW w:w="3465" w:type="dxa"/>
            <w:noWrap w:val="0"/>
            <w:vAlign w:val="center"/>
          </w:tcPr>
          <w:p w14:paraId="6CD9025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所定价格涵盖消毒、穿刺、建立通路、抗凝处理、连接管路、补充置换液、清除毒素及水分、监测、封管、处理用物等步骤所需的人力资源和基本物质资源消耗。</w:t>
            </w:r>
          </w:p>
        </w:tc>
        <w:tc>
          <w:tcPr>
            <w:tcW w:w="840" w:type="dxa"/>
            <w:noWrap w:val="0"/>
            <w:vAlign w:val="center"/>
          </w:tcPr>
          <w:p w14:paraId="488B737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723EB4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399</w:t>
            </w:r>
          </w:p>
        </w:tc>
        <w:tc>
          <w:tcPr>
            <w:tcW w:w="795" w:type="dxa"/>
            <w:shd w:val="clear" w:color="auto" w:fill="auto"/>
            <w:noWrap w:val="0"/>
            <w:vAlign w:val="center"/>
          </w:tcPr>
          <w:p w14:paraId="3EB6EB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359</w:t>
            </w:r>
          </w:p>
        </w:tc>
        <w:tc>
          <w:tcPr>
            <w:tcW w:w="810" w:type="dxa"/>
            <w:shd w:val="clear" w:color="auto" w:fill="auto"/>
            <w:noWrap w:val="0"/>
            <w:vAlign w:val="center"/>
          </w:tcPr>
          <w:p w14:paraId="44A42A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319</w:t>
            </w:r>
          </w:p>
        </w:tc>
        <w:tc>
          <w:tcPr>
            <w:tcW w:w="2655" w:type="dxa"/>
            <w:noWrap w:val="0"/>
            <w:vAlign w:val="center"/>
          </w:tcPr>
          <w:p w14:paraId="7CECCC9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本项目中的“监测”指：血温、血压、在线清除率、血容量监测，医院未完成全部四项监测事项的，需按项据实减收5元</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项。</w:t>
            </w:r>
          </w:p>
        </w:tc>
        <w:tc>
          <w:tcPr>
            <w:tcW w:w="600" w:type="dxa"/>
            <w:noWrap w:val="0"/>
            <w:vAlign w:val="center"/>
          </w:tcPr>
          <w:p w14:paraId="621715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7E9A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555" w:type="dxa"/>
            <w:noWrap w:val="0"/>
            <w:vAlign w:val="center"/>
          </w:tcPr>
          <w:p w14:paraId="326EA81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3</w:t>
            </w:r>
          </w:p>
        </w:tc>
        <w:tc>
          <w:tcPr>
            <w:tcW w:w="738" w:type="dxa"/>
            <w:noWrap w:val="0"/>
            <w:vAlign w:val="center"/>
          </w:tcPr>
          <w:p w14:paraId="7129FA4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31D775E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013110000030000</w:t>
            </w:r>
          </w:p>
        </w:tc>
        <w:tc>
          <w:tcPr>
            <w:tcW w:w="960" w:type="dxa"/>
            <w:noWrap w:val="0"/>
            <w:vAlign w:val="center"/>
          </w:tcPr>
          <w:p w14:paraId="38D0977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血液透析滤过费</w:t>
            </w:r>
          </w:p>
        </w:tc>
        <w:tc>
          <w:tcPr>
            <w:tcW w:w="1845" w:type="dxa"/>
            <w:noWrap w:val="0"/>
            <w:vAlign w:val="center"/>
          </w:tcPr>
          <w:p w14:paraId="6625157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通过同时进行血液透析和血液滤过清除血液中过多水分和有害物质。</w:t>
            </w:r>
          </w:p>
        </w:tc>
        <w:tc>
          <w:tcPr>
            <w:tcW w:w="3465" w:type="dxa"/>
            <w:noWrap w:val="0"/>
            <w:vAlign w:val="center"/>
          </w:tcPr>
          <w:p w14:paraId="3654AC7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所定价格涵盖消毒、穿刺、建立通路、连接管路、参数设置、清除毒素及水分滤过、监测、封管、处理用物等步骤所需的人力资源和基本物质资源消耗。</w:t>
            </w:r>
          </w:p>
        </w:tc>
        <w:tc>
          <w:tcPr>
            <w:tcW w:w="840" w:type="dxa"/>
            <w:noWrap w:val="0"/>
            <w:vAlign w:val="center"/>
          </w:tcPr>
          <w:p w14:paraId="5D1AACF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62303D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599</w:t>
            </w:r>
          </w:p>
        </w:tc>
        <w:tc>
          <w:tcPr>
            <w:tcW w:w="795" w:type="dxa"/>
            <w:shd w:val="clear" w:color="auto" w:fill="auto"/>
            <w:noWrap w:val="0"/>
            <w:vAlign w:val="center"/>
          </w:tcPr>
          <w:p w14:paraId="12D9B7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539</w:t>
            </w:r>
          </w:p>
        </w:tc>
        <w:tc>
          <w:tcPr>
            <w:tcW w:w="810" w:type="dxa"/>
            <w:shd w:val="clear" w:color="auto" w:fill="auto"/>
            <w:noWrap w:val="0"/>
            <w:vAlign w:val="center"/>
          </w:tcPr>
          <w:p w14:paraId="1DFF19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479</w:t>
            </w:r>
          </w:p>
        </w:tc>
        <w:tc>
          <w:tcPr>
            <w:tcW w:w="2655" w:type="dxa"/>
            <w:noWrap w:val="0"/>
            <w:vAlign w:val="center"/>
          </w:tcPr>
          <w:p w14:paraId="6369540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本项目中的“监测”指：血温、血压、在线清除率、血容量监测，医院未完成全部四项监测事项的，需按项据实减收5元</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项。</w:t>
            </w:r>
          </w:p>
        </w:tc>
        <w:tc>
          <w:tcPr>
            <w:tcW w:w="600" w:type="dxa"/>
            <w:noWrap w:val="0"/>
            <w:vAlign w:val="center"/>
          </w:tcPr>
          <w:p w14:paraId="61B4E2F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1B020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7AE3867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4</w:t>
            </w:r>
          </w:p>
        </w:tc>
        <w:tc>
          <w:tcPr>
            <w:tcW w:w="738" w:type="dxa"/>
            <w:noWrap w:val="0"/>
            <w:vAlign w:val="center"/>
          </w:tcPr>
          <w:p w14:paraId="59CAADD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64363A9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013110000040000</w:t>
            </w:r>
          </w:p>
        </w:tc>
        <w:tc>
          <w:tcPr>
            <w:tcW w:w="960" w:type="dxa"/>
            <w:noWrap w:val="0"/>
            <w:vAlign w:val="center"/>
          </w:tcPr>
          <w:p w14:paraId="4D2C94C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血液灌流费</w:t>
            </w:r>
          </w:p>
        </w:tc>
        <w:tc>
          <w:tcPr>
            <w:tcW w:w="1845" w:type="dxa"/>
            <w:noWrap w:val="0"/>
            <w:vAlign w:val="center"/>
          </w:tcPr>
          <w:p w14:paraId="03F55E3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通过吸附原理‌直接结合血液中的中大分子及蛋白结合毒素。</w:t>
            </w:r>
          </w:p>
        </w:tc>
        <w:tc>
          <w:tcPr>
            <w:tcW w:w="3465" w:type="dxa"/>
            <w:noWrap w:val="0"/>
            <w:vAlign w:val="center"/>
          </w:tcPr>
          <w:p w14:paraId="29E6FF7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所定价格涵盖消毒、穿刺、建立通路、连接管路、参数设置、血液灌流、回输、封管、处理用物等步骤所需的人力资源和基本物质资源消耗。</w:t>
            </w:r>
          </w:p>
        </w:tc>
        <w:tc>
          <w:tcPr>
            <w:tcW w:w="840" w:type="dxa"/>
            <w:noWrap w:val="0"/>
            <w:vAlign w:val="center"/>
          </w:tcPr>
          <w:p w14:paraId="3A4A912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5FC126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550</w:t>
            </w:r>
          </w:p>
        </w:tc>
        <w:tc>
          <w:tcPr>
            <w:tcW w:w="795" w:type="dxa"/>
            <w:shd w:val="clear" w:color="auto" w:fill="auto"/>
            <w:noWrap w:val="0"/>
            <w:vAlign w:val="center"/>
          </w:tcPr>
          <w:p w14:paraId="3D9252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495</w:t>
            </w:r>
          </w:p>
        </w:tc>
        <w:tc>
          <w:tcPr>
            <w:tcW w:w="810" w:type="dxa"/>
            <w:shd w:val="clear" w:color="auto" w:fill="auto"/>
            <w:noWrap w:val="0"/>
            <w:vAlign w:val="center"/>
          </w:tcPr>
          <w:p w14:paraId="46FD7C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440</w:t>
            </w:r>
          </w:p>
        </w:tc>
        <w:tc>
          <w:tcPr>
            <w:tcW w:w="2655" w:type="dxa"/>
            <w:noWrap w:val="0"/>
            <w:vAlign w:val="center"/>
          </w:tcPr>
          <w:p w14:paraId="24D9F71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1EA35B3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4B03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7AED924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5</w:t>
            </w:r>
          </w:p>
        </w:tc>
        <w:tc>
          <w:tcPr>
            <w:tcW w:w="738" w:type="dxa"/>
            <w:noWrap w:val="0"/>
            <w:vAlign w:val="center"/>
          </w:tcPr>
          <w:p w14:paraId="2BCD5B2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09677C9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013110000050000</w:t>
            </w:r>
          </w:p>
        </w:tc>
        <w:tc>
          <w:tcPr>
            <w:tcW w:w="960" w:type="dxa"/>
            <w:noWrap w:val="0"/>
            <w:vAlign w:val="center"/>
          </w:tcPr>
          <w:p w14:paraId="2FB3D48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血液透析灌流费</w:t>
            </w:r>
          </w:p>
        </w:tc>
        <w:tc>
          <w:tcPr>
            <w:tcW w:w="1845" w:type="dxa"/>
            <w:noWrap w:val="0"/>
            <w:vAlign w:val="center"/>
          </w:tcPr>
          <w:p w14:paraId="654D256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通过同时进行血液透析和血液灌流清除血液中过多水分和有害物质。</w:t>
            </w:r>
          </w:p>
        </w:tc>
        <w:tc>
          <w:tcPr>
            <w:tcW w:w="3465" w:type="dxa"/>
            <w:noWrap w:val="0"/>
            <w:vAlign w:val="center"/>
          </w:tcPr>
          <w:p w14:paraId="7970E20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所定价格涵盖消毒、穿刺、建立通路、连接管路、参数设置、透析灌流、监测、封管、处理用物等步骤所需的人力资源和基本物质资源消耗。</w:t>
            </w:r>
          </w:p>
        </w:tc>
        <w:tc>
          <w:tcPr>
            <w:tcW w:w="840" w:type="dxa"/>
            <w:noWrap w:val="0"/>
            <w:vAlign w:val="center"/>
          </w:tcPr>
          <w:p w14:paraId="24FB3CA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73C14A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w:t>
            </w:r>
          </w:p>
        </w:tc>
        <w:tc>
          <w:tcPr>
            <w:tcW w:w="795" w:type="dxa"/>
            <w:shd w:val="clear" w:color="auto" w:fill="auto"/>
            <w:noWrap w:val="0"/>
            <w:vAlign w:val="center"/>
          </w:tcPr>
          <w:p w14:paraId="499EB2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540</w:t>
            </w:r>
          </w:p>
        </w:tc>
        <w:tc>
          <w:tcPr>
            <w:tcW w:w="810" w:type="dxa"/>
            <w:shd w:val="clear" w:color="auto" w:fill="auto"/>
            <w:noWrap w:val="0"/>
            <w:vAlign w:val="center"/>
          </w:tcPr>
          <w:p w14:paraId="7B2BAF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480</w:t>
            </w:r>
          </w:p>
        </w:tc>
        <w:tc>
          <w:tcPr>
            <w:tcW w:w="2655" w:type="dxa"/>
            <w:noWrap w:val="0"/>
            <w:vAlign w:val="center"/>
          </w:tcPr>
          <w:p w14:paraId="2C3E22D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本项目中的“监测”指：血温、血压、在线清除率、血容量监测，医院未完成全部四项监测事项的，需按项据实减收5元</w:t>
            </w: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项。</w:t>
            </w:r>
          </w:p>
        </w:tc>
        <w:tc>
          <w:tcPr>
            <w:tcW w:w="600" w:type="dxa"/>
            <w:noWrap w:val="0"/>
            <w:vAlign w:val="center"/>
          </w:tcPr>
          <w:p w14:paraId="4ACD635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7278A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457ECBD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6</w:t>
            </w:r>
          </w:p>
        </w:tc>
        <w:tc>
          <w:tcPr>
            <w:tcW w:w="738" w:type="dxa"/>
            <w:noWrap w:val="0"/>
            <w:vAlign w:val="center"/>
          </w:tcPr>
          <w:p w14:paraId="4AAAAC6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05311B8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013110000060000</w:t>
            </w:r>
          </w:p>
        </w:tc>
        <w:tc>
          <w:tcPr>
            <w:tcW w:w="960" w:type="dxa"/>
            <w:noWrap w:val="0"/>
            <w:vAlign w:val="center"/>
          </w:tcPr>
          <w:p w14:paraId="4F9BFD8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血浆置换费</w:t>
            </w:r>
          </w:p>
        </w:tc>
        <w:tc>
          <w:tcPr>
            <w:tcW w:w="1845" w:type="dxa"/>
            <w:noWrap w:val="0"/>
            <w:vAlign w:val="center"/>
          </w:tcPr>
          <w:p w14:paraId="0501C1C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分离血浆、用置换液置换含有有害物质的血浆。</w:t>
            </w:r>
          </w:p>
        </w:tc>
        <w:tc>
          <w:tcPr>
            <w:tcW w:w="3465" w:type="dxa"/>
            <w:noWrap w:val="0"/>
            <w:vAlign w:val="center"/>
          </w:tcPr>
          <w:p w14:paraId="6F9C149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所定价格涵盖消毒、穿刺、连接管路、血浆分离置换、回输、去除装置、处理用物等步骤所需的人力资源和基本物质资源消耗。</w:t>
            </w:r>
          </w:p>
        </w:tc>
        <w:tc>
          <w:tcPr>
            <w:tcW w:w="840" w:type="dxa"/>
            <w:noWrap w:val="0"/>
            <w:vAlign w:val="center"/>
          </w:tcPr>
          <w:p w14:paraId="2AEC8AE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15C903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795" w:type="dxa"/>
            <w:shd w:val="clear" w:color="auto" w:fill="auto"/>
            <w:noWrap w:val="0"/>
            <w:vAlign w:val="center"/>
          </w:tcPr>
          <w:p w14:paraId="58D554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630</w:t>
            </w:r>
          </w:p>
        </w:tc>
        <w:tc>
          <w:tcPr>
            <w:tcW w:w="810" w:type="dxa"/>
            <w:shd w:val="clear" w:color="auto" w:fill="auto"/>
            <w:noWrap w:val="0"/>
            <w:vAlign w:val="center"/>
          </w:tcPr>
          <w:p w14:paraId="2F5D18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560</w:t>
            </w:r>
          </w:p>
        </w:tc>
        <w:tc>
          <w:tcPr>
            <w:tcW w:w="2655" w:type="dxa"/>
            <w:noWrap w:val="0"/>
            <w:vAlign w:val="center"/>
          </w:tcPr>
          <w:p w14:paraId="344FCD2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56ABAF1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60570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2942C6D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7</w:t>
            </w:r>
          </w:p>
        </w:tc>
        <w:tc>
          <w:tcPr>
            <w:tcW w:w="738" w:type="dxa"/>
            <w:noWrap w:val="0"/>
            <w:vAlign w:val="center"/>
          </w:tcPr>
          <w:p w14:paraId="32BA11E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3B82C77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013110000060001</w:t>
            </w:r>
          </w:p>
        </w:tc>
        <w:tc>
          <w:tcPr>
            <w:tcW w:w="960" w:type="dxa"/>
            <w:noWrap w:val="0"/>
            <w:vAlign w:val="center"/>
          </w:tcPr>
          <w:p w14:paraId="0EC58FB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血浆置换费-双重血浆置换（加收）</w:t>
            </w:r>
          </w:p>
        </w:tc>
        <w:tc>
          <w:tcPr>
            <w:tcW w:w="1845" w:type="dxa"/>
            <w:noWrap w:val="0"/>
            <w:vAlign w:val="center"/>
          </w:tcPr>
          <w:p w14:paraId="0379060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3465" w:type="dxa"/>
            <w:noWrap w:val="0"/>
            <w:vAlign w:val="center"/>
          </w:tcPr>
          <w:p w14:paraId="0506DD1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840" w:type="dxa"/>
            <w:noWrap w:val="0"/>
            <w:vAlign w:val="center"/>
          </w:tcPr>
          <w:p w14:paraId="4E1C689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3C731C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340</w:t>
            </w:r>
          </w:p>
        </w:tc>
        <w:tc>
          <w:tcPr>
            <w:tcW w:w="795" w:type="dxa"/>
            <w:shd w:val="clear" w:color="auto" w:fill="auto"/>
            <w:noWrap w:val="0"/>
            <w:vAlign w:val="center"/>
          </w:tcPr>
          <w:p w14:paraId="4A89F0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306</w:t>
            </w:r>
          </w:p>
        </w:tc>
        <w:tc>
          <w:tcPr>
            <w:tcW w:w="810" w:type="dxa"/>
            <w:shd w:val="clear" w:color="auto" w:fill="auto"/>
            <w:noWrap w:val="0"/>
            <w:vAlign w:val="center"/>
          </w:tcPr>
          <w:p w14:paraId="4C27EF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272</w:t>
            </w:r>
          </w:p>
        </w:tc>
        <w:tc>
          <w:tcPr>
            <w:tcW w:w="2655" w:type="dxa"/>
            <w:noWrap w:val="0"/>
            <w:vAlign w:val="center"/>
          </w:tcPr>
          <w:p w14:paraId="62F04D1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501C4D1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37478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555" w:type="dxa"/>
            <w:noWrap w:val="0"/>
            <w:vAlign w:val="center"/>
          </w:tcPr>
          <w:p w14:paraId="70B8A88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8</w:t>
            </w:r>
          </w:p>
        </w:tc>
        <w:tc>
          <w:tcPr>
            <w:tcW w:w="738" w:type="dxa"/>
            <w:noWrap w:val="0"/>
            <w:vAlign w:val="center"/>
          </w:tcPr>
          <w:p w14:paraId="0BDCE4B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1855F51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013110000070000</w:t>
            </w:r>
          </w:p>
        </w:tc>
        <w:tc>
          <w:tcPr>
            <w:tcW w:w="960" w:type="dxa"/>
            <w:noWrap w:val="0"/>
            <w:vAlign w:val="center"/>
          </w:tcPr>
          <w:p w14:paraId="77D98F7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血浆吸附费</w:t>
            </w:r>
          </w:p>
        </w:tc>
        <w:tc>
          <w:tcPr>
            <w:tcW w:w="1845" w:type="dxa"/>
            <w:noWrap w:val="0"/>
            <w:vAlign w:val="center"/>
          </w:tcPr>
          <w:p w14:paraId="5C70372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分离血浆，利用吸附原理清除血浆中特定有害物质。</w:t>
            </w:r>
          </w:p>
        </w:tc>
        <w:tc>
          <w:tcPr>
            <w:tcW w:w="3465" w:type="dxa"/>
            <w:noWrap w:val="0"/>
            <w:vAlign w:val="center"/>
          </w:tcPr>
          <w:p w14:paraId="5D49484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所定价格涵盖消毒、穿刺、连接管路、分离血浆、吸附清除致病物质、血细胞混合、回输、去除装置、处理用物等步骤所需的人力资源和基本物质资源消耗。</w:t>
            </w:r>
          </w:p>
        </w:tc>
        <w:tc>
          <w:tcPr>
            <w:tcW w:w="840" w:type="dxa"/>
            <w:noWrap w:val="0"/>
            <w:vAlign w:val="center"/>
          </w:tcPr>
          <w:p w14:paraId="0624B0F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6691EB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1200</w:t>
            </w:r>
          </w:p>
        </w:tc>
        <w:tc>
          <w:tcPr>
            <w:tcW w:w="795" w:type="dxa"/>
            <w:shd w:val="clear" w:color="auto" w:fill="auto"/>
            <w:noWrap w:val="0"/>
            <w:vAlign w:val="center"/>
          </w:tcPr>
          <w:p w14:paraId="1D7D3B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1080</w:t>
            </w:r>
          </w:p>
        </w:tc>
        <w:tc>
          <w:tcPr>
            <w:tcW w:w="810" w:type="dxa"/>
            <w:shd w:val="clear" w:color="auto" w:fill="auto"/>
            <w:noWrap w:val="0"/>
            <w:vAlign w:val="center"/>
          </w:tcPr>
          <w:p w14:paraId="543712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960</w:t>
            </w:r>
          </w:p>
        </w:tc>
        <w:tc>
          <w:tcPr>
            <w:tcW w:w="2655" w:type="dxa"/>
            <w:noWrap w:val="0"/>
            <w:vAlign w:val="center"/>
          </w:tcPr>
          <w:p w14:paraId="3DBAC50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232BB73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74B8C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10D21CD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9</w:t>
            </w:r>
          </w:p>
        </w:tc>
        <w:tc>
          <w:tcPr>
            <w:tcW w:w="738" w:type="dxa"/>
            <w:noWrap w:val="0"/>
            <w:vAlign w:val="center"/>
          </w:tcPr>
          <w:p w14:paraId="0B588EB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2869886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013110000080000</w:t>
            </w:r>
          </w:p>
        </w:tc>
        <w:tc>
          <w:tcPr>
            <w:tcW w:w="960" w:type="dxa"/>
            <w:noWrap w:val="0"/>
            <w:vAlign w:val="center"/>
          </w:tcPr>
          <w:p w14:paraId="4FB6287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连续性肾脏替代治疗费</w:t>
            </w:r>
          </w:p>
        </w:tc>
        <w:tc>
          <w:tcPr>
            <w:tcW w:w="1845" w:type="dxa"/>
            <w:noWrap w:val="0"/>
            <w:vAlign w:val="center"/>
          </w:tcPr>
          <w:p w14:paraId="59D1C9E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通过血液净化实现连续肾脏替代治疗和多脏器功能衰竭的生命支持治疗。</w:t>
            </w:r>
          </w:p>
        </w:tc>
        <w:tc>
          <w:tcPr>
            <w:tcW w:w="3465" w:type="dxa"/>
            <w:noWrap w:val="0"/>
            <w:vAlign w:val="center"/>
          </w:tcPr>
          <w:p w14:paraId="6132F9E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所定价格涵盖消毒、穿刺、连接管路、上机、血液净化、体外抗凝、回输、去除装置、处理用物等步骤所需的人力资源和基本物质资源消耗。</w:t>
            </w:r>
          </w:p>
        </w:tc>
        <w:tc>
          <w:tcPr>
            <w:tcW w:w="840" w:type="dxa"/>
            <w:noWrap w:val="0"/>
            <w:vAlign w:val="center"/>
          </w:tcPr>
          <w:p w14:paraId="6CE5396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小时</w:t>
            </w:r>
          </w:p>
        </w:tc>
        <w:tc>
          <w:tcPr>
            <w:tcW w:w="780" w:type="dxa"/>
            <w:shd w:val="clear" w:color="auto" w:fill="auto"/>
            <w:noWrap w:val="0"/>
            <w:vAlign w:val="center"/>
          </w:tcPr>
          <w:p w14:paraId="76D578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795" w:type="dxa"/>
            <w:shd w:val="clear" w:color="auto" w:fill="auto"/>
            <w:noWrap w:val="0"/>
            <w:vAlign w:val="center"/>
          </w:tcPr>
          <w:p w14:paraId="47D150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810" w:type="dxa"/>
            <w:shd w:val="clear" w:color="auto" w:fill="auto"/>
            <w:noWrap w:val="0"/>
            <w:vAlign w:val="center"/>
          </w:tcPr>
          <w:p w14:paraId="1C1EDD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2655" w:type="dxa"/>
            <w:noWrap w:val="0"/>
            <w:vAlign w:val="center"/>
          </w:tcPr>
          <w:p w14:paraId="52A607C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1A4F33B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5F8FA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555" w:type="dxa"/>
            <w:noWrap w:val="0"/>
            <w:vAlign w:val="center"/>
          </w:tcPr>
          <w:p w14:paraId="681FCF5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10</w:t>
            </w:r>
          </w:p>
        </w:tc>
        <w:tc>
          <w:tcPr>
            <w:tcW w:w="738" w:type="dxa"/>
            <w:noWrap w:val="0"/>
            <w:vAlign w:val="center"/>
          </w:tcPr>
          <w:p w14:paraId="1E6C08C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7BE7490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013110000080001</w:t>
            </w:r>
          </w:p>
        </w:tc>
        <w:tc>
          <w:tcPr>
            <w:tcW w:w="960" w:type="dxa"/>
            <w:noWrap w:val="0"/>
            <w:vAlign w:val="center"/>
          </w:tcPr>
          <w:p w14:paraId="09946FA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连续性肾脏替代治疗费-连续性血浆吸附滤过治疗（加收）</w:t>
            </w:r>
          </w:p>
        </w:tc>
        <w:tc>
          <w:tcPr>
            <w:tcW w:w="1845" w:type="dxa"/>
            <w:noWrap w:val="0"/>
            <w:vAlign w:val="center"/>
          </w:tcPr>
          <w:p w14:paraId="15EB6CE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3465" w:type="dxa"/>
            <w:noWrap w:val="0"/>
            <w:vAlign w:val="center"/>
          </w:tcPr>
          <w:p w14:paraId="0570FD8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840" w:type="dxa"/>
            <w:noWrap w:val="0"/>
            <w:vAlign w:val="center"/>
          </w:tcPr>
          <w:p w14:paraId="4F5B9A7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小时</w:t>
            </w:r>
          </w:p>
        </w:tc>
        <w:tc>
          <w:tcPr>
            <w:tcW w:w="780" w:type="dxa"/>
            <w:shd w:val="clear" w:color="auto" w:fill="auto"/>
            <w:noWrap w:val="0"/>
            <w:vAlign w:val="center"/>
          </w:tcPr>
          <w:p w14:paraId="1FEAD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795" w:type="dxa"/>
            <w:shd w:val="clear" w:color="auto" w:fill="auto"/>
            <w:noWrap w:val="0"/>
            <w:vAlign w:val="center"/>
          </w:tcPr>
          <w:p w14:paraId="0C8FE2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810" w:type="dxa"/>
            <w:shd w:val="clear" w:color="auto" w:fill="auto"/>
            <w:noWrap w:val="0"/>
            <w:vAlign w:val="center"/>
          </w:tcPr>
          <w:p w14:paraId="7C55B1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2655" w:type="dxa"/>
            <w:noWrap w:val="0"/>
            <w:vAlign w:val="center"/>
          </w:tcPr>
          <w:p w14:paraId="257DCBA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3CE139A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7CE3B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7FA321D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11</w:t>
            </w:r>
          </w:p>
        </w:tc>
        <w:tc>
          <w:tcPr>
            <w:tcW w:w="738" w:type="dxa"/>
            <w:noWrap w:val="0"/>
            <w:vAlign w:val="center"/>
          </w:tcPr>
          <w:p w14:paraId="241DEE7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46FD42A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013110000090000</w:t>
            </w:r>
          </w:p>
        </w:tc>
        <w:tc>
          <w:tcPr>
            <w:tcW w:w="960" w:type="dxa"/>
            <w:noWrap w:val="0"/>
            <w:vAlign w:val="center"/>
          </w:tcPr>
          <w:p w14:paraId="5AE4E01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腹膜透析费（人工）</w:t>
            </w:r>
          </w:p>
        </w:tc>
        <w:tc>
          <w:tcPr>
            <w:tcW w:w="1845" w:type="dxa"/>
            <w:noWrap w:val="0"/>
            <w:vAlign w:val="center"/>
          </w:tcPr>
          <w:p w14:paraId="1D020E3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通过人工进行肾脏替代治疗，清除毒素和/或水分。</w:t>
            </w:r>
          </w:p>
        </w:tc>
        <w:tc>
          <w:tcPr>
            <w:tcW w:w="3465" w:type="dxa"/>
            <w:noWrap w:val="0"/>
            <w:vAlign w:val="center"/>
          </w:tcPr>
          <w:p w14:paraId="6DCBF9F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所定价格涵盖操作前准备、透析管连接、注入透析液、引流液收集、记录等步骤所需的人力资源和基本物质资源消耗。</w:t>
            </w:r>
          </w:p>
        </w:tc>
        <w:tc>
          <w:tcPr>
            <w:tcW w:w="840" w:type="dxa"/>
            <w:noWrap w:val="0"/>
            <w:vAlign w:val="center"/>
          </w:tcPr>
          <w:p w14:paraId="265ADCA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36B604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795" w:type="dxa"/>
            <w:shd w:val="clear" w:color="auto" w:fill="auto"/>
            <w:noWrap w:val="0"/>
            <w:vAlign w:val="center"/>
          </w:tcPr>
          <w:p w14:paraId="31852F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21.5</w:t>
            </w:r>
          </w:p>
        </w:tc>
        <w:tc>
          <w:tcPr>
            <w:tcW w:w="810" w:type="dxa"/>
            <w:shd w:val="clear" w:color="auto" w:fill="auto"/>
            <w:noWrap w:val="0"/>
            <w:vAlign w:val="center"/>
          </w:tcPr>
          <w:p w14:paraId="12304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2655" w:type="dxa"/>
            <w:noWrap w:val="0"/>
            <w:vAlign w:val="center"/>
          </w:tcPr>
          <w:p w14:paraId="2D4F0B6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1542E33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2010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3FC754A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12</w:t>
            </w:r>
          </w:p>
        </w:tc>
        <w:tc>
          <w:tcPr>
            <w:tcW w:w="738" w:type="dxa"/>
            <w:noWrap w:val="0"/>
            <w:vAlign w:val="center"/>
          </w:tcPr>
          <w:p w14:paraId="359B618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3437EEF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013110000100000</w:t>
            </w:r>
          </w:p>
        </w:tc>
        <w:tc>
          <w:tcPr>
            <w:tcW w:w="960" w:type="dxa"/>
            <w:noWrap w:val="0"/>
            <w:vAlign w:val="center"/>
          </w:tcPr>
          <w:p w14:paraId="135D32C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腹膜透析费（自动）</w:t>
            </w:r>
          </w:p>
        </w:tc>
        <w:tc>
          <w:tcPr>
            <w:tcW w:w="1845" w:type="dxa"/>
            <w:noWrap w:val="0"/>
            <w:vAlign w:val="center"/>
          </w:tcPr>
          <w:p w14:paraId="1055C2F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通过设备进行肾脏替代治疗，清除毒素和/或水分。</w:t>
            </w:r>
          </w:p>
        </w:tc>
        <w:tc>
          <w:tcPr>
            <w:tcW w:w="3465" w:type="dxa"/>
            <w:noWrap w:val="0"/>
            <w:vAlign w:val="center"/>
          </w:tcPr>
          <w:p w14:paraId="0B4383A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所定价格涵盖设备准备、透析管连接、设备运行、引流液收集、记录等步骤所需的人力资源和基本物质资源消耗。</w:t>
            </w:r>
          </w:p>
        </w:tc>
        <w:tc>
          <w:tcPr>
            <w:tcW w:w="840" w:type="dxa"/>
            <w:noWrap w:val="0"/>
            <w:vAlign w:val="center"/>
          </w:tcPr>
          <w:p w14:paraId="0C41592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小时</w:t>
            </w:r>
          </w:p>
        </w:tc>
        <w:tc>
          <w:tcPr>
            <w:tcW w:w="780" w:type="dxa"/>
            <w:shd w:val="clear" w:color="auto" w:fill="auto"/>
            <w:noWrap w:val="0"/>
            <w:vAlign w:val="center"/>
          </w:tcPr>
          <w:p w14:paraId="36E2BA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95" w:type="dxa"/>
            <w:shd w:val="clear" w:color="auto" w:fill="auto"/>
            <w:noWrap w:val="0"/>
            <w:vAlign w:val="center"/>
          </w:tcPr>
          <w:p w14:paraId="39B549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810" w:type="dxa"/>
            <w:shd w:val="clear" w:color="auto" w:fill="auto"/>
            <w:noWrap w:val="0"/>
            <w:vAlign w:val="center"/>
          </w:tcPr>
          <w:p w14:paraId="37DB00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655" w:type="dxa"/>
            <w:noWrap w:val="0"/>
            <w:vAlign w:val="center"/>
          </w:tcPr>
          <w:p w14:paraId="2E553A1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6D36629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6A8FE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555" w:type="dxa"/>
            <w:noWrap w:val="0"/>
            <w:vAlign w:val="center"/>
          </w:tcPr>
          <w:p w14:paraId="4A82CEE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13</w:t>
            </w:r>
          </w:p>
        </w:tc>
        <w:tc>
          <w:tcPr>
            <w:tcW w:w="738" w:type="dxa"/>
            <w:noWrap w:val="0"/>
            <w:vAlign w:val="center"/>
          </w:tcPr>
          <w:p w14:paraId="76EBA0B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0429EE6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013110000110000</w:t>
            </w:r>
          </w:p>
        </w:tc>
        <w:tc>
          <w:tcPr>
            <w:tcW w:w="960" w:type="dxa"/>
            <w:noWrap w:val="0"/>
            <w:vAlign w:val="center"/>
          </w:tcPr>
          <w:p w14:paraId="761FFC3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腹膜透析操作训练费</w:t>
            </w:r>
          </w:p>
        </w:tc>
        <w:tc>
          <w:tcPr>
            <w:tcW w:w="1845" w:type="dxa"/>
            <w:noWrap w:val="0"/>
            <w:vAlign w:val="center"/>
          </w:tcPr>
          <w:p w14:paraId="10C2881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由医疗机构提供腹膜透析治疗的相关操作训练和指导，使患者具备自我操作腹膜透析和疾病自我管理的能力。</w:t>
            </w:r>
          </w:p>
        </w:tc>
        <w:tc>
          <w:tcPr>
            <w:tcW w:w="3465" w:type="dxa"/>
            <w:noWrap w:val="0"/>
            <w:vAlign w:val="center"/>
          </w:tcPr>
          <w:p w14:paraId="2C314E9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所定价格涵盖医务人员对患者及照顾者进行培训，使其掌握家庭腹膜透析技能所需的人力资源和基本物质资源消耗。</w:t>
            </w:r>
          </w:p>
        </w:tc>
        <w:tc>
          <w:tcPr>
            <w:tcW w:w="840" w:type="dxa"/>
            <w:noWrap w:val="0"/>
            <w:vAlign w:val="center"/>
          </w:tcPr>
          <w:p w14:paraId="16B6D91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小时</w:t>
            </w:r>
          </w:p>
        </w:tc>
        <w:tc>
          <w:tcPr>
            <w:tcW w:w="780" w:type="dxa"/>
            <w:shd w:val="clear" w:color="auto" w:fill="auto"/>
            <w:noWrap w:val="0"/>
            <w:vAlign w:val="center"/>
          </w:tcPr>
          <w:p w14:paraId="7D4B53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795" w:type="dxa"/>
            <w:shd w:val="clear" w:color="auto" w:fill="auto"/>
            <w:noWrap w:val="0"/>
            <w:vAlign w:val="center"/>
          </w:tcPr>
          <w:p w14:paraId="097433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810" w:type="dxa"/>
            <w:shd w:val="clear" w:color="auto" w:fill="auto"/>
            <w:noWrap w:val="0"/>
            <w:vAlign w:val="center"/>
          </w:tcPr>
          <w:p w14:paraId="2696D8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2655" w:type="dxa"/>
            <w:noWrap w:val="0"/>
            <w:vAlign w:val="center"/>
          </w:tcPr>
          <w:p w14:paraId="4925803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超过4小时按4小时计价。</w:t>
            </w:r>
          </w:p>
        </w:tc>
        <w:tc>
          <w:tcPr>
            <w:tcW w:w="600" w:type="dxa"/>
            <w:noWrap w:val="0"/>
            <w:vAlign w:val="center"/>
          </w:tcPr>
          <w:p w14:paraId="267F660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692BB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7F83321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14</w:t>
            </w:r>
          </w:p>
        </w:tc>
        <w:tc>
          <w:tcPr>
            <w:tcW w:w="738" w:type="dxa"/>
            <w:noWrap w:val="0"/>
            <w:vAlign w:val="center"/>
          </w:tcPr>
          <w:p w14:paraId="7864268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1DBF8CD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013110000120000</w:t>
            </w:r>
          </w:p>
        </w:tc>
        <w:tc>
          <w:tcPr>
            <w:tcW w:w="960" w:type="dxa"/>
            <w:noWrap w:val="0"/>
            <w:vAlign w:val="center"/>
          </w:tcPr>
          <w:p w14:paraId="7E87C7F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腹膜透析延伸服务费</w:t>
            </w:r>
          </w:p>
        </w:tc>
        <w:tc>
          <w:tcPr>
            <w:tcW w:w="1845" w:type="dxa"/>
            <w:noWrap w:val="0"/>
            <w:vAlign w:val="center"/>
          </w:tcPr>
          <w:p w14:paraId="209C3DF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通过各种方式向在院外进行腹膜透析治疗的患者提供沟通、评估及指导等医学服务。</w:t>
            </w:r>
          </w:p>
        </w:tc>
        <w:tc>
          <w:tcPr>
            <w:tcW w:w="3465" w:type="dxa"/>
            <w:noWrap w:val="0"/>
            <w:vAlign w:val="center"/>
          </w:tcPr>
          <w:p w14:paraId="0A1F1F2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所定价格涵盖医务人员对患者进行沟通、评估及指导等所需的人力资源和基本物质资源消耗。</w:t>
            </w:r>
          </w:p>
        </w:tc>
        <w:tc>
          <w:tcPr>
            <w:tcW w:w="840" w:type="dxa"/>
            <w:noWrap w:val="0"/>
            <w:vAlign w:val="center"/>
          </w:tcPr>
          <w:p w14:paraId="0E326A9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月</w:t>
            </w:r>
          </w:p>
        </w:tc>
        <w:tc>
          <w:tcPr>
            <w:tcW w:w="780" w:type="dxa"/>
            <w:shd w:val="clear" w:color="auto" w:fill="auto"/>
            <w:noWrap w:val="0"/>
            <w:vAlign w:val="center"/>
          </w:tcPr>
          <w:p w14:paraId="62256F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795" w:type="dxa"/>
            <w:shd w:val="clear" w:color="auto" w:fill="auto"/>
            <w:noWrap w:val="0"/>
            <w:vAlign w:val="center"/>
          </w:tcPr>
          <w:p w14:paraId="6C5900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810" w:type="dxa"/>
            <w:shd w:val="clear" w:color="auto" w:fill="auto"/>
            <w:noWrap w:val="0"/>
            <w:vAlign w:val="center"/>
          </w:tcPr>
          <w:p w14:paraId="5435F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2655" w:type="dxa"/>
            <w:noWrap w:val="0"/>
            <w:vAlign w:val="center"/>
          </w:tcPr>
          <w:p w14:paraId="3D0FCC0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医疗机构收取该项费用应以每周最少完成一次延伸服务为前提。</w:t>
            </w:r>
          </w:p>
        </w:tc>
        <w:tc>
          <w:tcPr>
            <w:tcW w:w="600" w:type="dxa"/>
            <w:noWrap w:val="0"/>
            <w:vAlign w:val="center"/>
          </w:tcPr>
          <w:p w14:paraId="330A67B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4CC62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7F0ADF1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15</w:t>
            </w:r>
          </w:p>
        </w:tc>
        <w:tc>
          <w:tcPr>
            <w:tcW w:w="738" w:type="dxa"/>
            <w:noWrap w:val="0"/>
            <w:vAlign w:val="center"/>
          </w:tcPr>
          <w:p w14:paraId="7285251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456138B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013110000130000</w:t>
            </w:r>
          </w:p>
        </w:tc>
        <w:tc>
          <w:tcPr>
            <w:tcW w:w="960" w:type="dxa"/>
            <w:noWrap w:val="0"/>
            <w:vAlign w:val="center"/>
          </w:tcPr>
          <w:p w14:paraId="2E93659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透析管路处理费</w:t>
            </w:r>
          </w:p>
        </w:tc>
        <w:tc>
          <w:tcPr>
            <w:tcW w:w="1845" w:type="dxa"/>
            <w:noWrap w:val="0"/>
            <w:vAlign w:val="center"/>
          </w:tcPr>
          <w:p w14:paraId="3E59881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溶解透析管路内栓塞物，恢复透析管路通畅。</w:t>
            </w:r>
          </w:p>
        </w:tc>
        <w:tc>
          <w:tcPr>
            <w:tcW w:w="3465" w:type="dxa"/>
            <w:noWrap w:val="0"/>
            <w:vAlign w:val="center"/>
          </w:tcPr>
          <w:p w14:paraId="56ECAAD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所定价格涵盖消毒、反复溶栓药物注射、留置、抽取、封管、处理用物等步骤所需的人力资源和基本物质资源消耗。</w:t>
            </w:r>
          </w:p>
        </w:tc>
        <w:tc>
          <w:tcPr>
            <w:tcW w:w="840" w:type="dxa"/>
            <w:noWrap w:val="0"/>
            <w:vAlign w:val="center"/>
          </w:tcPr>
          <w:p w14:paraId="0382A36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4360DC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795" w:type="dxa"/>
            <w:shd w:val="clear" w:color="auto" w:fill="auto"/>
            <w:noWrap w:val="0"/>
            <w:vAlign w:val="center"/>
          </w:tcPr>
          <w:p w14:paraId="779315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810" w:type="dxa"/>
            <w:shd w:val="clear" w:color="auto" w:fill="auto"/>
            <w:noWrap w:val="0"/>
            <w:vAlign w:val="center"/>
          </w:tcPr>
          <w:p w14:paraId="2F8E62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2655" w:type="dxa"/>
            <w:noWrap w:val="0"/>
            <w:vAlign w:val="center"/>
          </w:tcPr>
          <w:p w14:paraId="6DCE6EF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7DD59ED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r>
      <w:tr w14:paraId="15393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2617577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16</w:t>
            </w:r>
          </w:p>
        </w:tc>
        <w:tc>
          <w:tcPr>
            <w:tcW w:w="738" w:type="dxa"/>
            <w:noWrap w:val="0"/>
            <w:vAlign w:val="center"/>
          </w:tcPr>
          <w:p w14:paraId="3739436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6426DDF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013110000140000</w:t>
            </w:r>
          </w:p>
        </w:tc>
        <w:tc>
          <w:tcPr>
            <w:tcW w:w="960" w:type="dxa"/>
            <w:noWrap w:val="0"/>
            <w:vAlign w:val="center"/>
          </w:tcPr>
          <w:p w14:paraId="07D0011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腹膜透析外管更换费</w:t>
            </w:r>
          </w:p>
        </w:tc>
        <w:tc>
          <w:tcPr>
            <w:tcW w:w="1845" w:type="dxa"/>
            <w:noWrap w:val="0"/>
            <w:vAlign w:val="center"/>
          </w:tcPr>
          <w:p w14:paraId="16E0D56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通过各种方式更换腹膜透析外接短管。</w:t>
            </w:r>
          </w:p>
        </w:tc>
        <w:tc>
          <w:tcPr>
            <w:tcW w:w="3465" w:type="dxa"/>
            <w:noWrap w:val="0"/>
            <w:vAlign w:val="center"/>
          </w:tcPr>
          <w:p w14:paraId="31B8648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所定价格涵盖消毒、更换管路、封管、处理用物等步骤所需的人力资源和基本物质资源消耗。</w:t>
            </w:r>
          </w:p>
        </w:tc>
        <w:tc>
          <w:tcPr>
            <w:tcW w:w="840" w:type="dxa"/>
            <w:noWrap w:val="0"/>
            <w:vAlign w:val="center"/>
          </w:tcPr>
          <w:p w14:paraId="0802462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42D15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795" w:type="dxa"/>
            <w:shd w:val="clear" w:color="auto" w:fill="auto"/>
            <w:noWrap w:val="0"/>
            <w:vAlign w:val="center"/>
          </w:tcPr>
          <w:p w14:paraId="0BF65C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49.5</w:t>
            </w:r>
          </w:p>
        </w:tc>
        <w:tc>
          <w:tcPr>
            <w:tcW w:w="810" w:type="dxa"/>
            <w:shd w:val="clear" w:color="auto" w:fill="auto"/>
            <w:noWrap w:val="0"/>
            <w:vAlign w:val="center"/>
          </w:tcPr>
          <w:p w14:paraId="765489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2655" w:type="dxa"/>
            <w:noWrap w:val="0"/>
            <w:vAlign w:val="center"/>
          </w:tcPr>
          <w:p w14:paraId="2B8342E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3D7D9F9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3BDE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183BCDB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17</w:t>
            </w:r>
          </w:p>
        </w:tc>
        <w:tc>
          <w:tcPr>
            <w:tcW w:w="738" w:type="dxa"/>
            <w:noWrap w:val="0"/>
            <w:vAlign w:val="center"/>
          </w:tcPr>
          <w:p w14:paraId="1FA37E0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7958D24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013110000150000</w:t>
            </w:r>
          </w:p>
        </w:tc>
        <w:tc>
          <w:tcPr>
            <w:tcW w:w="960" w:type="dxa"/>
            <w:noWrap w:val="0"/>
            <w:vAlign w:val="center"/>
          </w:tcPr>
          <w:p w14:paraId="071E3EF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腹膜平衡试验费</w:t>
            </w:r>
          </w:p>
        </w:tc>
        <w:tc>
          <w:tcPr>
            <w:tcW w:w="1845" w:type="dxa"/>
            <w:noWrap w:val="0"/>
            <w:vAlign w:val="center"/>
          </w:tcPr>
          <w:p w14:paraId="34480A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对腹膜功能进行检测，调整腹膜透析方案。</w:t>
            </w:r>
          </w:p>
        </w:tc>
        <w:tc>
          <w:tcPr>
            <w:tcW w:w="3465" w:type="dxa"/>
            <w:noWrap w:val="0"/>
            <w:vAlign w:val="center"/>
          </w:tcPr>
          <w:p w14:paraId="51F848E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所定价格涵盖腹透换液、留取标本、测量、计算、出具方案、处理用物等步骤所需的人力资源和基本物质资源消耗。</w:t>
            </w:r>
          </w:p>
        </w:tc>
        <w:tc>
          <w:tcPr>
            <w:tcW w:w="840" w:type="dxa"/>
            <w:noWrap w:val="0"/>
            <w:vAlign w:val="center"/>
          </w:tcPr>
          <w:p w14:paraId="4280B01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58E6C6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795" w:type="dxa"/>
            <w:shd w:val="clear" w:color="auto" w:fill="auto"/>
            <w:noWrap w:val="0"/>
            <w:vAlign w:val="center"/>
          </w:tcPr>
          <w:p w14:paraId="60360A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32.5</w:t>
            </w:r>
          </w:p>
        </w:tc>
        <w:tc>
          <w:tcPr>
            <w:tcW w:w="810" w:type="dxa"/>
            <w:shd w:val="clear" w:color="auto" w:fill="auto"/>
            <w:noWrap w:val="0"/>
            <w:vAlign w:val="center"/>
          </w:tcPr>
          <w:p w14:paraId="2E209C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2655" w:type="dxa"/>
            <w:noWrap w:val="0"/>
            <w:vAlign w:val="center"/>
          </w:tcPr>
          <w:p w14:paraId="201B134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7193591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49332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388CCEA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18</w:t>
            </w:r>
          </w:p>
        </w:tc>
        <w:tc>
          <w:tcPr>
            <w:tcW w:w="738" w:type="dxa"/>
            <w:noWrap w:val="0"/>
            <w:vAlign w:val="center"/>
          </w:tcPr>
          <w:p w14:paraId="2309E32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0FE370B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013311000010000</w:t>
            </w:r>
          </w:p>
        </w:tc>
        <w:tc>
          <w:tcPr>
            <w:tcW w:w="960" w:type="dxa"/>
            <w:noWrap w:val="0"/>
            <w:vAlign w:val="center"/>
          </w:tcPr>
          <w:p w14:paraId="46E7884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腹膜透析置管费</w:t>
            </w:r>
          </w:p>
        </w:tc>
        <w:tc>
          <w:tcPr>
            <w:tcW w:w="1845" w:type="dxa"/>
            <w:noWrap w:val="0"/>
            <w:vAlign w:val="center"/>
          </w:tcPr>
          <w:p w14:paraId="1A0C310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通过各种方式放置腹膜透析导管。</w:t>
            </w:r>
          </w:p>
        </w:tc>
        <w:tc>
          <w:tcPr>
            <w:tcW w:w="3465" w:type="dxa"/>
            <w:noWrap w:val="0"/>
            <w:vAlign w:val="center"/>
          </w:tcPr>
          <w:p w14:paraId="560A56F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所定价格涵盖消毒、切开、穿刺或分离、置管、试水通畅、缝合、处理用物等步骤所需的人力资源和基本物质资源消耗。</w:t>
            </w:r>
          </w:p>
        </w:tc>
        <w:tc>
          <w:tcPr>
            <w:tcW w:w="840" w:type="dxa"/>
            <w:noWrap w:val="0"/>
            <w:vAlign w:val="center"/>
          </w:tcPr>
          <w:p w14:paraId="14014DA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3BC23F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440</w:t>
            </w:r>
          </w:p>
        </w:tc>
        <w:tc>
          <w:tcPr>
            <w:tcW w:w="795" w:type="dxa"/>
            <w:shd w:val="clear" w:color="auto" w:fill="auto"/>
            <w:noWrap w:val="0"/>
            <w:vAlign w:val="center"/>
          </w:tcPr>
          <w:p w14:paraId="0AFC57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396</w:t>
            </w:r>
          </w:p>
        </w:tc>
        <w:tc>
          <w:tcPr>
            <w:tcW w:w="810" w:type="dxa"/>
            <w:shd w:val="clear" w:color="auto" w:fill="auto"/>
            <w:noWrap w:val="0"/>
            <w:vAlign w:val="center"/>
          </w:tcPr>
          <w:p w14:paraId="23B610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352</w:t>
            </w:r>
          </w:p>
        </w:tc>
        <w:tc>
          <w:tcPr>
            <w:tcW w:w="2655" w:type="dxa"/>
            <w:noWrap w:val="0"/>
            <w:vAlign w:val="center"/>
          </w:tcPr>
          <w:p w14:paraId="6B94C43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070E71F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7C645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00A1CE5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19</w:t>
            </w:r>
          </w:p>
        </w:tc>
        <w:tc>
          <w:tcPr>
            <w:tcW w:w="738" w:type="dxa"/>
            <w:noWrap w:val="0"/>
            <w:vAlign w:val="center"/>
          </w:tcPr>
          <w:p w14:paraId="610AFC9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3CF7072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013311000010001</w:t>
            </w:r>
          </w:p>
        </w:tc>
        <w:tc>
          <w:tcPr>
            <w:tcW w:w="960" w:type="dxa"/>
            <w:noWrap w:val="0"/>
            <w:vAlign w:val="center"/>
          </w:tcPr>
          <w:p w14:paraId="0FA6A85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腹膜透析置管费-儿童（加收）</w:t>
            </w:r>
          </w:p>
        </w:tc>
        <w:tc>
          <w:tcPr>
            <w:tcW w:w="1845" w:type="dxa"/>
            <w:noWrap w:val="0"/>
            <w:vAlign w:val="center"/>
          </w:tcPr>
          <w:p w14:paraId="44EAA51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3465" w:type="dxa"/>
            <w:noWrap w:val="0"/>
            <w:vAlign w:val="center"/>
          </w:tcPr>
          <w:p w14:paraId="6543BED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840" w:type="dxa"/>
            <w:noWrap w:val="0"/>
            <w:vAlign w:val="center"/>
          </w:tcPr>
          <w:p w14:paraId="2B6C809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08C458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795" w:type="dxa"/>
            <w:shd w:val="clear" w:color="auto" w:fill="auto"/>
            <w:noWrap w:val="0"/>
            <w:vAlign w:val="center"/>
          </w:tcPr>
          <w:p w14:paraId="7E5895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810" w:type="dxa"/>
            <w:shd w:val="clear" w:color="auto" w:fill="auto"/>
            <w:noWrap w:val="0"/>
            <w:vAlign w:val="center"/>
          </w:tcPr>
          <w:p w14:paraId="7E202C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2655" w:type="dxa"/>
            <w:noWrap w:val="0"/>
            <w:vAlign w:val="center"/>
          </w:tcPr>
          <w:p w14:paraId="4ED355A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4323F33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460AE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68D08D2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20</w:t>
            </w:r>
          </w:p>
        </w:tc>
        <w:tc>
          <w:tcPr>
            <w:tcW w:w="738" w:type="dxa"/>
            <w:noWrap w:val="0"/>
            <w:vAlign w:val="center"/>
          </w:tcPr>
          <w:p w14:paraId="21916CE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4E24F10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013311000020000</w:t>
            </w:r>
          </w:p>
        </w:tc>
        <w:tc>
          <w:tcPr>
            <w:tcW w:w="960" w:type="dxa"/>
            <w:noWrap w:val="0"/>
            <w:vAlign w:val="center"/>
          </w:tcPr>
          <w:p w14:paraId="1BD393B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腹膜透析换管费</w:t>
            </w:r>
          </w:p>
        </w:tc>
        <w:tc>
          <w:tcPr>
            <w:tcW w:w="1845" w:type="dxa"/>
            <w:noWrap w:val="0"/>
            <w:vAlign w:val="center"/>
          </w:tcPr>
          <w:p w14:paraId="53B45FF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更换破损、堵塞、移位的腹膜透析导管。</w:t>
            </w:r>
          </w:p>
        </w:tc>
        <w:tc>
          <w:tcPr>
            <w:tcW w:w="3465" w:type="dxa"/>
            <w:noWrap w:val="0"/>
            <w:vAlign w:val="center"/>
          </w:tcPr>
          <w:p w14:paraId="1156F0C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所定价格涵盖消毒、切开、拔除旧管、原位置入新管、试水通畅、缝合、处理用物等步骤所需的人力资源和基本物质资源消耗。</w:t>
            </w:r>
          </w:p>
        </w:tc>
        <w:tc>
          <w:tcPr>
            <w:tcW w:w="840" w:type="dxa"/>
            <w:noWrap w:val="0"/>
            <w:vAlign w:val="center"/>
          </w:tcPr>
          <w:p w14:paraId="421D515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4C2D04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660</w:t>
            </w:r>
          </w:p>
        </w:tc>
        <w:tc>
          <w:tcPr>
            <w:tcW w:w="795" w:type="dxa"/>
            <w:shd w:val="clear" w:color="auto" w:fill="auto"/>
            <w:noWrap w:val="0"/>
            <w:vAlign w:val="center"/>
          </w:tcPr>
          <w:p w14:paraId="6E442F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594</w:t>
            </w:r>
          </w:p>
        </w:tc>
        <w:tc>
          <w:tcPr>
            <w:tcW w:w="810" w:type="dxa"/>
            <w:shd w:val="clear" w:color="auto" w:fill="auto"/>
            <w:noWrap w:val="0"/>
            <w:vAlign w:val="center"/>
          </w:tcPr>
          <w:p w14:paraId="44EBA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528</w:t>
            </w:r>
          </w:p>
        </w:tc>
        <w:tc>
          <w:tcPr>
            <w:tcW w:w="2655" w:type="dxa"/>
            <w:noWrap w:val="0"/>
            <w:vAlign w:val="center"/>
          </w:tcPr>
          <w:p w14:paraId="1CA567A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不与“腹膜透析置管费”“腹膜透析导管取出费”“腹膜透析导管感染清创费”同时收取。</w:t>
            </w:r>
          </w:p>
        </w:tc>
        <w:tc>
          <w:tcPr>
            <w:tcW w:w="600" w:type="dxa"/>
            <w:noWrap w:val="0"/>
            <w:vAlign w:val="center"/>
          </w:tcPr>
          <w:p w14:paraId="2A530C2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7077B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09C26F1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21</w:t>
            </w:r>
          </w:p>
        </w:tc>
        <w:tc>
          <w:tcPr>
            <w:tcW w:w="738" w:type="dxa"/>
            <w:noWrap w:val="0"/>
            <w:vAlign w:val="center"/>
          </w:tcPr>
          <w:p w14:paraId="41AE3C3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2D84F0D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013311000020001</w:t>
            </w:r>
          </w:p>
        </w:tc>
        <w:tc>
          <w:tcPr>
            <w:tcW w:w="960" w:type="dxa"/>
            <w:noWrap w:val="0"/>
            <w:vAlign w:val="center"/>
          </w:tcPr>
          <w:p w14:paraId="46351C2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腹膜透析换管费-儿童（加收）</w:t>
            </w:r>
          </w:p>
        </w:tc>
        <w:tc>
          <w:tcPr>
            <w:tcW w:w="1845" w:type="dxa"/>
            <w:noWrap w:val="0"/>
            <w:vAlign w:val="center"/>
          </w:tcPr>
          <w:p w14:paraId="331A98C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3465" w:type="dxa"/>
            <w:noWrap w:val="0"/>
            <w:vAlign w:val="center"/>
          </w:tcPr>
          <w:p w14:paraId="7DF73C4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840" w:type="dxa"/>
            <w:noWrap w:val="0"/>
            <w:vAlign w:val="center"/>
          </w:tcPr>
          <w:p w14:paraId="3EBF919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7CAB6A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795" w:type="dxa"/>
            <w:shd w:val="clear" w:color="auto" w:fill="auto"/>
            <w:noWrap w:val="0"/>
            <w:vAlign w:val="center"/>
          </w:tcPr>
          <w:p w14:paraId="4F49B2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810" w:type="dxa"/>
            <w:shd w:val="clear" w:color="auto" w:fill="auto"/>
            <w:noWrap w:val="0"/>
            <w:vAlign w:val="center"/>
          </w:tcPr>
          <w:p w14:paraId="232F1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2655" w:type="dxa"/>
            <w:noWrap w:val="0"/>
            <w:vAlign w:val="center"/>
          </w:tcPr>
          <w:p w14:paraId="4C6DF8C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不与“腹膜透析置管费”“腹膜透析导管取出费”“腹膜透析导管感染清创费”同时收取。</w:t>
            </w:r>
          </w:p>
        </w:tc>
        <w:tc>
          <w:tcPr>
            <w:tcW w:w="600" w:type="dxa"/>
            <w:noWrap w:val="0"/>
            <w:vAlign w:val="center"/>
          </w:tcPr>
          <w:p w14:paraId="0C492EB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6E64D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4F081E2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国标黑体" w:hAnsi="国标黑体" w:eastAsia="国标黑体" w:cs="国标黑体"/>
                <w:i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22</w:t>
            </w:r>
          </w:p>
        </w:tc>
        <w:tc>
          <w:tcPr>
            <w:tcW w:w="738" w:type="dxa"/>
            <w:noWrap w:val="0"/>
            <w:vAlign w:val="center"/>
          </w:tcPr>
          <w:p w14:paraId="1257771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6C3287F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013110000160000</w:t>
            </w:r>
          </w:p>
        </w:tc>
        <w:tc>
          <w:tcPr>
            <w:tcW w:w="960" w:type="dxa"/>
            <w:noWrap w:val="0"/>
            <w:vAlign w:val="center"/>
          </w:tcPr>
          <w:p w14:paraId="24FCED2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腹膜透析导管复位费（导丝复位）</w:t>
            </w:r>
          </w:p>
        </w:tc>
        <w:tc>
          <w:tcPr>
            <w:tcW w:w="1845" w:type="dxa"/>
            <w:noWrap w:val="0"/>
            <w:vAlign w:val="center"/>
          </w:tcPr>
          <w:p w14:paraId="3BDD18A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通过导丝调整复位移位的腹膜透析导管，恢复导管功能。</w:t>
            </w:r>
          </w:p>
        </w:tc>
        <w:tc>
          <w:tcPr>
            <w:tcW w:w="3465" w:type="dxa"/>
            <w:noWrap w:val="0"/>
            <w:vAlign w:val="center"/>
          </w:tcPr>
          <w:p w14:paraId="3E86017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所定价格涵盖消毒、修复、调整管路、试水通畅等步骤所需的人力资源和基本物质资源消耗。</w:t>
            </w:r>
          </w:p>
        </w:tc>
        <w:tc>
          <w:tcPr>
            <w:tcW w:w="840" w:type="dxa"/>
            <w:noWrap w:val="0"/>
            <w:vAlign w:val="center"/>
          </w:tcPr>
          <w:p w14:paraId="68B337F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108285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795" w:type="dxa"/>
            <w:shd w:val="clear" w:color="auto" w:fill="auto"/>
            <w:noWrap w:val="0"/>
            <w:vAlign w:val="center"/>
          </w:tcPr>
          <w:p w14:paraId="405ED7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270</w:t>
            </w:r>
          </w:p>
        </w:tc>
        <w:tc>
          <w:tcPr>
            <w:tcW w:w="810" w:type="dxa"/>
            <w:shd w:val="clear" w:color="auto" w:fill="auto"/>
            <w:noWrap w:val="0"/>
            <w:vAlign w:val="center"/>
          </w:tcPr>
          <w:p w14:paraId="3B69BC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2655" w:type="dxa"/>
            <w:noWrap w:val="0"/>
            <w:vAlign w:val="center"/>
          </w:tcPr>
          <w:p w14:paraId="6B861C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不与“腹膜透析导管复位费（手术复位）”同时收取。</w:t>
            </w:r>
          </w:p>
        </w:tc>
        <w:tc>
          <w:tcPr>
            <w:tcW w:w="600" w:type="dxa"/>
            <w:noWrap w:val="0"/>
            <w:vAlign w:val="center"/>
          </w:tcPr>
          <w:p w14:paraId="016074D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44E89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588B150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23</w:t>
            </w:r>
          </w:p>
        </w:tc>
        <w:tc>
          <w:tcPr>
            <w:tcW w:w="738" w:type="dxa"/>
            <w:noWrap w:val="0"/>
            <w:vAlign w:val="center"/>
          </w:tcPr>
          <w:p w14:paraId="1B67A58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5D67397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013311000030000</w:t>
            </w:r>
          </w:p>
        </w:tc>
        <w:tc>
          <w:tcPr>
            <w:tcW w:w="960" w:type="dxa"/>
            <w:noWrap w:val="0"/>
            <w:vAlign w:val="center"/>
          </w:tcPr>
          <w:p w14:paraId="5EEB28D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腹膜透析导管复位费（手术复位）</w:t>
            </w:r>
          </w:p>
        </w:tc>
        <w:tc>
          <w:tcPr>
            <w:tcW w:w="1845" w:type="dxa"/>
            <w:noWrap w:val="0"/>
            <w:vAlign w:val="center"/>
          </w:tcPr>
          <w:p w14:paraId="0CF0715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通过手术调整复位移位的腹膜透析导管，恢复导管功能。</w:t>
            </w:r>
          </w:p>
        </w:tc>
        <w:tc>
          <w:tcPr>
            <w:tcW w:w="3465" w:type="dxa"/>
            <w:noWrap w:val="0"/>
            <w:vAlign w:val="center"/>
          </w:tcPr>
          <w:p w14:paraId="4A25C9F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所定价格涵盖消毒、修复、调整管路、试水通畅、缝合及必要时使用导丝调整、处理用物等步骤所需的人力资源和基本物质资源消耗。</w:t>
            </w:r>
          </w:p>
        </w:tc>
        <w:tc>
          <w:tcPr>
            <w:tcW w:w="840" w:type="dxa"/>
            <w:noWrap w:val="0"/>
            <w:vAlign w:val="center"/>
          </w:tcPr>
          <w:p w14:paraId="3C2580E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22FE8A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520</w:t>
            </w:r>
          </w:p>
        </w:tc>
        <w:tc>
          <w:tcPr>
            <w:tcW w:w="795" w:type="dxa"/>
            <w:shd w:val="clear" w:color="auto" w:fill="auto"/>
            <w:noWrap w:val="0"/>
            <w:vAlign w:val="center"/>
          </w:tcPr>
          <w:p w14:paraId="42D42F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468</w:t>
            </w:r>
          </w:p>
        </w:tc>
        <w:tc>
          <w:tcPr>
            <w:tcW w:w="810" w:type="dxa"/>
            <w:shd w:val="clear" w:color="auto" w:fill="auto"/>
            <w:noWrap w:val="0"/>
            <w:vAlign w:val="center"/>
          </w:tcPr>
          <w:p w14:paraId="69948F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416</w:t>
            </w:r>
          </w:p>
        </w:tc>
        <w:tc>
          <w:tcPr>
            <w:tcW w:w="2655" w:type="dxa"/>
            <w:noWrap w:val="0"/>
            <w:vAlign w:val="center"/>
          </w:tcPr>
          <w:p w14:paraId="26F17E8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不与“腹膜透析导管复位费（导丝复位）”同时收取。</w:t>
            </w:r>
          </w:p>
        </w:tc>
        <w:tc>
          <w:tcPr>
            <w:tcW w:w="600" w:type="dxa"/>
            <w:noWrap w:val="0"/>
            <w:vAlign w:val="center"/>
          </w:tcPr>
          <w:p w14:paraId="4B5B347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30D3B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555" w:type="dxa"/>
            <w:noWrap w:val="0"/>
            <w:vAlign w:val="center"/>
          </w:tcPr>
          <w:p w14:paraId="1E6DB15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Times New Roman" w:hAnsi="Times New Roman" w:eastAsia="等线" w:cs="Times New Roman"/>
                <w:i w:val="0"/>
                <w:iCs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24</w:t>
            </w:r>
          </w:p>
        </w:tc>
        <w:tc>
          <w:tcPr>
            <w:tcW w:w="738" w:type="dxa"/>
            <w:noWrap w:val="0"/>
            <w:vAlign w:val="center"/>
          </w:tcPr>
          <w:p w14:paraId="5D98572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手术费</w:t>
            </w:r>
          </w:p>
        </w:tc>
        <w:tc>
          <w:tcPr>
            <w:tcW w:w="779" w:type="dxa"/>
            <w:noWrap w:val="0"/>
            <w:vAlign w:val="center"/>
          </w:tcPr>
          <w:p w14:paraId="3081635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013311000030001</w:t>
            </w:r>
          </w:p>
        </w:tc>
        <w:tc>
          <w:tcPr>
            <w:tcW w:w="960" w:type="dxa"/>
            <w:noWrap w:val="0"/>
            <w:vAlign w:val="center"/>
          </w:tcPr>
          <w:p w14:paraId="16B391C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腹膜透析导管复位费（手术复位）-儿童（加收）</w:t>
            </w:r>
          </w:p>
        </w:tc>
        <w:tc>
          <w:tcPr>
            <w:tcW w:w="1845" w:type="dxa"/>
            <w:noWrap w:val="0"/>
            <w:vAlign w:val="center"/>
          </w:tcPr>
          <w:p w14:paraId="5777B4A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3465" w:type="dxa"/>
            <w:noWrap w:val="0"/>
            <w:vAlign w:val="center"/>
          </w:tcPr>
          <w:p w14:paraId="341D229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840" w:type="dxa"/>
            <w:noWrap w:val="0"/>
            <w:vAlign w:val="center"/>
          </w:tcPr>
          <w:p w14:paraId="0AC986E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1B3F69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795" w:type="dxa"/>
            <w:shd w:val="clear" w:color="auto" w:fill="auto"/>
            <w:noWrap w:val="0"/>
            <w:vAlign w:val="center"/>
          </w:tcPr>
          <w:p w14:paraId="27CD65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810" w:type="dxa"/>
            <w:shd w:val="clear" w:color="auto" w:fill="auto"/>
            <w:noWrap w:val="0"/>
            <w:vAlign w:val="center"/>
          </w:tcPr>
          <w:p w14:paraId="50001C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2655" w:type="dxa"/>
            <w:noWrap w:val="0"/>
            <w:vAlign w:val="center"/>
          </w:tcPr>
          <w:p w14:paraId="45B901E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不与“腹膜透析导管复位费（导丝复位）”同时收取。</w:t>
            </w:r>
          </w:p>
        </w:tc>
        <w:tc>
          <w:tcPr>
            <w:tcW w:w="600" w:type="dxa"/>
            <w:noWrap w:val="0"/>
            <w:vAlign w:val="center"/>
          </w:tcPr>
          <w:p w14:paraId="6370D17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2E107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55" w:type="dxa"/>
            <w:noWrap w:val="0"/>
            <w:vAlign w:val="center"/>
          </w:tcPr>
          <w:p w14:paraId="45AF438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default" w:ascii="国标黑体" w:hAnsi="国标黑体" w:eastAsia="国标黑体" w:cs="国标黑体"/>
                <w:i w:val="0"/>
                <w:color w:val="000000"/>
                <w:kern w:val="0"/>
                <w:sz w:val="20"/>
                <w:szCs w:val="20"/>
                <w:u w:val="none"/>
                <w:lang w:val="en-US" w:eastAsia="zh-CN" w:bidi="ar"/>
              </w:rPr>
            </w:pPr>
            <w:r>
              <w:rPr>
                <w:rFonts w:hint="eastAsia" w:ascii="Times New Roman" w:hAnsi="Times New Roman" w:eastAsia="等线" w:cs="Times New Roman"/>
                <w:i w:val="0"/>
                <w:iCs w:val="0"/>
                <w:color w:val="000000"/>
                <w:kern w:val="0"/>
                <w:sz w:val="20"/>
                <w:szCs w:val="20"/>
                <w:u w:val="none"/>
                <w:lang w:val="en-US" w:eastAsia="zh-CN" w:bidi="ar"/>
              </w:rPr>
              <w:t>25</w:t>
            </w:r>
          </w:p>
        </w:tc>
        <w:tc>
          <w:tcPr>
            <w:tcW w:w="738" w:type="dxa"/>
            <w:noWrap w:val="0"/>
            <w:vAlign w:val="center"/>
          </w:tcPr>
          <w:p w14:paraId="1A7892B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01BF73C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013110000170000</w:t>
            </w:r>
          </w:p>
        </w:tc>
        <w:tc>
          <w:tcPr>
            <w:tcW w:w="960" w:type="dxa"/>
            <w:noWrap w:val="0"/>
            <w:vAlign w:val="center"/>
          </w:tcPr>
          <w:p w14:paraId="347CB92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腹膜透析导管取出费</w:t>
            </w:r>
          </w:p>
        </w:tc>
        <w:tc>
          <w:tcPr>
            <w:tcW w:w="1845" w:type="dxa"/>
            <w:noWrap w:val="0"/>
            <w:vAlign w:val="center"/>
          </w:tcPr>
          <w:p w14:paraId="42A78F8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通过各种方式取出腹膜透析导管。</w:t>
            </w:r>
          </w:p>
        </w:tc>
        <w:tc>
          <w:tcPr>
            <w:tcW w:w="3465" w:type="dxa"/>
            <w:noWrap w:val="0"/>
            <w:vAlign w:val="center"/>
          </w:tcPr>
          <w:p w14:paraId="270F4E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所定价格涵盖消毒、切开、分离、拔管、缝合等步骤所需的人力资源和基本物质资源消耗。</w:t>
            </w:r>
          </w:p>
        </w:tc>
        <w:tc>
          <w:tcPr>
            <w:tcW w:w="840" w:type="dxa"/>
            <w:noWrap w:val="0"/>
            <w:vAlign w:val="center"/>
          </w:tcPr>
          <w:p w14:paraId="35E6083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7D85B4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220</w:t>
            </w:r>
          </w:p>
        </w:tc>
        <w:tc>
          <w:tcPr>
            <w:tcW w:w="795" w:type="dxa"/>
            <w:shd w:val="clear" w:color="auto" w:fill="auto"/>
            <w:noWrap w:val="0"/>
            <w:vAlign w:val="center"/>
          </w:tcPr>
          <w:p w14:paraId="5D8C18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810" w:type="dxa"/>
            <w:shd w:val="clear" w:color="auto" w:fill="auto"/>
            <w:noWrap w:val="0"/>
            <w:vAlign w:val="center"/>
          </w:tcPr>
          <w:p w14:paraId="66E5D9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2655" w:type="dxa"/>
            <w:noWrap w:val="0"/>
            <w:vAlign w:val="center"/>
          </w:tcPr>
          <w:p w14:paraId="5E9FEF7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p>
        </w:tc>
        <w:tc>
          <w:tcPr>
            <w:tcW w:w="600" w:type="dxa"/>
            <w:noWrap w:val="0"/>
            <w:vAlign w:val="center"/>
          </w:tcPr>
          <w:p w14:paraId="7A7D547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7C90C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555" w:type="dxa"/>
            <w:noWrap w:val="0"/>
            <w:vAlign w:val="center"/>
          </w:tcPr>
          <w:p w14:paraId="42E76A6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default" w:ascii="Times New Roman" w:hAnsi="Times New Roman" w:eastAsia="等线" w:cs="Times New Roman"/>
                <w:i w:val="0"/>
                <w:iCs w:val="0"/>
                <w:color w:val="000000"/>
                <w:kern w:val="0"/>
                <w:sz w:val="20"/>
                <w:szCs w:val="20"/>
                <w:u w:val="none"/>
                <w:lang w:val="en-US" w:eastAsia="zh-CN" w:bidi="ar"/>
              </w:rPr>
              <w:t>2</w:t>
            </w:r>
            <w:r>
              <w:rPr>
                <w:rFonts w:hint="eastAsia" w:ascii="Times New Roman" w:hAnsi="Times New Roman" w:eastAsia="等线" w:cs="Times New Roman"/>
                <w:i w:val="0"/>
                <w:iCs w:val="0"/>
                <w:color w:val="000000"/>
                <w:kern w:val="0"/>
                <w:sz w:val="20"/>
                <w:szCs w:val="20"/>
                <w:u w:val="none"/>
                <w:lang w:val="en-US" w:eastAsia="zh-CN" w:bidi="ar"/>
              </w:rPr>
              <w:t>6</w:t>
            </w:r>
          </w:p>
        </w:tc>
        <w:tc>
          <w:tcPr>
            <w:tcW w:w="738" w:type="dxa"/>
            <w:noWrap w:val="0"/>
            <w:vAlign w:val="center"/>
          </w:tcPr>
          <w:p w14:paraId="7F21F45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治疗费</w:t>
            </w:r>
          </w:p>
        </w:tc>
        <w:tc>
          <w:tcPr>
            <w:tcW w:w="779" w:type="dxa"/>
            <w:noWrap w:val="0"/>
            <w:vAlign w:val="center"/>
          </w:tcPr>
          <w:p w14:paraId="7FCEE77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国标黑体" w:hAnsi="国标黑体" w:eastAsia="国标黑体" w:cs="国标黑体"/>
                <w:i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013110000180000</w:t>
            </w:r>
          </w:p>
        </w:tc>
        <w:tc>
          <w:tcPr>
            <w:tcW w:w="960" w:type="dxa"/>
            <w:noWrap w:val="0"/>
            <w:vAlign w:val="center"/>
          </w:tcPr>
          <w:p w14:paraId="38DB6AE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腹膜透析导管感染清创费</w:t>
            </w:r>
          </w:p>
        </w:tc>
        <w:tc>
          <w:tcPr>
            <w:tcW w:w="1845" w:type="dxa"/>
            <w:noWrap w:val="0"/>
            <w:vAlign w:val="center"/>
          </w:tcPr>
          <w:p w14:paraId="530E4CF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清除感染的腹膜透析导管外涤纶套。</w:t>
            </w:r>
          </w:p>
        </w:tc>
        <w:tc>
          <w:tcPr>
            <w:tcW w:w="3465" w:type="dxa"/>
            <w:noWrap w:val="0"/>
            <w:vAlign w:val="center"/>
          </w:tcPr>
          <w:p w14:paraId="110F61D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所定价格涵盖消毒、切开、游离、清除涤纶套、缝合及必要时更换管路、处理用物等步骤所需的人力资源和基本物质资源消耗。</w:t>
            </w:r>
          </w:p>
        </w:tc>
        <w:tc>
          <w:tcPr>
            <w:tcW w:w="840" w:type="dxa"/>
            <w:noWrap w:val="0"/>
            <w:vAlign w:val="center"/>
          </w:tcPr>
          <w:p w14:paraId="2518B84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780" w:type="dxa"/>
            <w:shd w:val="clear" w:color="auto" w:fill="auto"/>
            <w:noWrap w:val="0"/>
            <w:vAlign w:val="center"/>
          </w:tcPr>
          <w:p w14:paraId="131DA6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w:t>
            </w:r>
          </w:p>
        </w:tc>
        <w:tc>
          <w:tcPr>
            <w:tcW w:w="795" w:type="dxa"/>
            <w:shd w:val="clear" w:color="auto" w:fill="auto"/>
            <w:noWrap w:val="0"/>
            <w:vAlign w:val="center"/>
          </w:tcPr>
          <w:p w14:paraId="5E0DEA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270</w:t>
            </w:r>
          </w:p>
        </w:tc>
        <w:tc>
          <w:tcPr>
            <w:tcW w:w="810" w:type="dxa"/>
            <w:shd w:val="clear" w:color="auto" w:fill="auto"/>
            <w:noWrap w:val="0"/>
            <w:vAlign w:val="center"/>
          </w:tcPr>
          <w:p w14:paraId="3E6708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2655" w:type="dxa"/>
            <w:noWrap w:val="0"/>
            <w:vAlign w:val="center"/>
          </w:tcPr>
          <w:p w14:paraId="3E5B9F1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不与“腹膜透析换管费”同时收取。</w:t>
            </w:r>
          </w:p>
        </w:tc>
        <w:tc>
          <w:tcPr>
            <w:tcW w:w="600" w:type="dxa"/>
            <w:noWrap w:val="0"/>
            <w:vAlign w:val="center"/>
          </w:tcPr>
          <w:p w14:paraId="136827C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bl>
    <w:p w14:paraId="3190DBCE">
      <w:pPr>
        <w:keepNext w:val="0"/>
        <w:keepLines w:val="0"/>
        <w:pageBreakBefore w:val="0"/>
        <w:widowControl w:val="0"/>
        <w:kinsoku/>
        <w:wordWrap/>
        <w:overflowPunct/>
        <w:topLinePunct w:val="0"/>
        <w:autoSpaceDE/>
        <w:autoSpaceDN/>
        <w:bidi w:val="0"/>
        <w:adjustRightInd/>
        <w:snapToGrid/>
        <w:spacing w:line="20" w:lineRule="exact"/>
        <w:ind w:left="-63" w:leftChars="-30" w:right="-63" w:rightChars="-30"/>
        <w:jc w:val="center"/>
        <w:textAlignment w:val="auto"/>
        <w:rPr>
          <w:rFonts w:hint="eastAsia" w:ascii="国标黑体" w:hAnsi="国标黑体" w:eastAsia="国标黑体" w:cs="国标黑体"/>
          <w:i w:val="0"/>
          <w:color w:val="000000" w:themeColor="text1"/>
          <w:kern w:val="0"/>
          <w:sz w:val="22"/>
          <w:szCs w:val="22"/>
          <w:u w:val="none"/>
          <w:lang w:val="en-US" w:eastAsia="zh-CN" w:bidi="ar"/>
          <w14:textFill>
            <w14:solidFill>
              <w14:schemeClr w14:val="tx1"/>
            </w14:solidFill>
          </w14:textFill>
        </w:rPr>
      </w:pPr>
    </w:p>
    <w:p w14:paraId="678C553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2510947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17DC997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05C400C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69490CC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1323DFF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35293FB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0C34466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13F51B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6339FFA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112ECD9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1E70CF2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225DDCE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p>
    <w:p w14:paraId="3496107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542EA0EE">
      <w:pPr>
        <w:keepNext w:val="0"/>
        <w:keepLines w:val="0"/>
        <w:pageBreakBefore w:val="0"/>
        <w:widowControl w:val="0"/>
        <w:kinsoku/>
        <w:wordWrap w:val="0"/>
        <w:overflowPunct/>
        <w:topLinePunct w:val="0"/>
        <w:autoSpaceDE/>
        <w:autoSpaceDN/>
        <w:bidi w:val="0"/>
        <w:adjustRightInd/>
        <w:snapToGrid/>
        <w:spacing w:before="163" w:beforeLines="50" w:line="24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部分泌尿系统医疗服务价格项目废止表</w:t>
      </w:r>
    </w:p>
    <w:tbl>
      <w:tblPr>
        <w:tblStyle w:val="8"/>
        <w:tblW w:w="14499" w:type="dxa"/>
        <w:tblInd w:w="93" w:type="dxa"/>
        <w:shd w:val="clear" w:color="auto" w:fill="auto"/>
        <w:tblLayout w:type="autofit"/>
        <w:tblCellMar>
          <w:top w:w="0" w:type="dxa"/>
          <w:left w:w="108" w:type="dxa"/>
          <w:bottom w:w="0" w:type="dxa"/>
          <w:right w:w="108" w:type="dxa"/>
        </w:tblCellMar>
      </w:tblPr>
      <w:tblGrid>
        <w:gridCol w:w="675"/>
        <w:gridCol w:w="1605"/>
        <w:gridCol w:w="2224"/>
        <w:gridCol w:w="5137"/>
        <w:gridCol w:w="1154"/>
        <w:gridCol w:w="974"/>
        <w:gridCol w:w="2730"/>
      </w:tblGrid>
      <w:tr w14:paraId="02FB191F">
        <w:tblPrEx>
          <w:tblCellMar>
            <w:top w:w="0" w:type="dxa"/>
            <w:left w:w="108" w:type="dxa"/>
            <w:bottom w:w="0" w:type="dxa"/>
            <w:right w:w="108" w:type="dxa"/>
          </w:tblCellMar>
        </w:tblPrEx>
        <w:trPr>
          <w:trHeight w:val="810" w:hRule="atLeast"/>
          <w:tblHead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CD54">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序号</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A287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项目编码</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34D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项目名称</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DAC0">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项目内涵</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768C">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除外内容</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6736">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kern w:val="0"/>
                <w:sz w:val="22"/>
                <w:szCs w:val="22"/>
                <w:u w:val="none"/>
                <w:lang w:val="en-US" w:eastAsia="zh-CN" w:bidi="ar"/>
              </w:rPr>
            </w:pPr>
            <w:r>
              <w:rPr>
                <w:rFonts w:hint="eastAsia" w:ascii="黑体" w:hAnsi="黑体" w:eastAsia="黑体" w:cs="黑体"/>
                <w:b w:val="0"/>
                <w:bCs w:val="0"/>
                <w:i w:val="0"/>
                <w:iCs w:val="0"/>
                <w:color w:val="000000"/>
                <w:kern w:val="0"/>
                <w:sz w:val="22"/>
                <w:szCs w:val="22"/>
                <w:u w:val="none"/>
                <w:lang w:val="en-US" w:eastAsia="zh-CN" w:bidi="ar"/>
              </w:rPr>
              <w:t>计价</w:t>
            </w:r>
          </w:p>
          <w:p w14:paraId="14C9AFE2">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单位</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52867">
            <w:pPr>
              <w:keepNext w:val="0"/>
              <w:keepLines w:val="0"/>
              <w:pageBreakBefore w:val="0"/>
              <w:widowControl/>
              <w:suppressLineNumbers w:val="0"/>
              <w:kinsoku/>
              <w:wordWrap/>
              <w:overflowPunct/>
              <w:topLinePunct w:val="0"/>
              <w:autoSpaceDE/>
              <w:autoSpaceDN/>
              <w:bidi w:val="0"/>
              <w:adjustRightInd/>
              <w:snapToGrid/>
              <w:spacing w:line="240" w:lineRule="exact"/>
              <w:ind w:left="-63" w:leftChars="-30" w:right="-63" w:rightChars="-30"/>
              <w:jc w:val="center"/>
              <w:textAlignment w:val="center"/>
              <w:rPr>
                <w:rFonts w:hint="eastAsia" w:ascii="黑体" w:hAnsi="黑体" w:eastAsia="黑体" w:cs="黑体"/>
                <w:b w:val="0"/>
                <w:bCs w:val="0"/>
                <w:i w:val="0"/>
                <w:iCs w:val="0"/>
                <w:color w:val="000000"/>
                <w:sz w:val="22"/>
                <w:szCs w:val="22"/>
                <w:u w:val="none"/>
              </w:rPr>
            </w:pPr>
            <w:r>
              <w:rPr>
                <w:rFonts w:hint="eastAsia" w:ascii="黑体" w:hAnsi="黑体" w:eastAsia="黑体" w:cs="黑体"/>
                <w:b w:val="0"/>
                <w:bCs w:val="0"/>
                <w:i w:val="0"/>
                <w:iCs w:val="0"/>
                <w:color w:val="000000"/>
                <w:kern w:val="0"/>
                <w:sz w:val="22"/>
                <w:szCs w:val="22"/>
                <w:u w:val="none"/>
                <w:lang w:val="en-US" w:eastAsia="zh-CN" w:bidi="ar"/>
              </w:rPr>
              <w:t>说 明</w:t>
            </w:r>
          </w:p>
        </w:tc>
      </w:tr>
      <w:tr w14:paraId="5FF29EFB">
        <w:tblPrEx>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09F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729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310800008</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4A3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血浆置换术</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52F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机采</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1EC3">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1F7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121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人工置换200ml/单位。</w:t>
            </w:r>
          </w:p>
        </w:tc>
      </w:tr>
      <w:tr w14:paraId="520402DE">
        <w:tblPrEx>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864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070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311000001 </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9967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腹膜透析置管术</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448E">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F58C">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009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415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腹膜透析拔管术按50%收取;腹腔神经丛置管术加收100%。</w:t>
            </w:r>
          </w:p>
        </w:tc>
      </w:tr>
      <w:tr w14:paraId="1F29C065">
        <w:tblPrEx>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29C4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292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311000001-1</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4AA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腹膜透析置管术(腹膜透析拔管术)</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8F0A2">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C9731">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8C1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B8C6A">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4CB05B7D">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134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E5B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311000002</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AB4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腹透机自动腹膜透析</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FD6C">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95A4">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24F0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AE49">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780594FC">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F2D3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435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311000003</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6B7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腹膜透析换液</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DD8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含腹透液加温、加药、腹透换液操作及培训</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FB5C2">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4F8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2162">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4AF7F358">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56C6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70F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311000004</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364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腹膜透析换管</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6BE4">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8A1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连接管</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873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00EEF">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3E5CD6E9">
        <w:tblPrEx>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7F22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6D8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311000005</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D2C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腹膜平衡试验</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D33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含定时、分段取腹腔液；不含化验检查</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B13C9">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9DD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212A8">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656E79E8">
        <w:tblPrEx>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24B3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C262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311000006</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571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血液透析</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1490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包括碳酸液透析或醋酸液透析</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981AC">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81E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BA76">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5B492DF5">
        <w:tblPrEx>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D05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D699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311000007</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2250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血液滤过</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F4F3">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含透析液、置换液</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F1E6">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956D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94CA">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57A9DFAF">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40B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16C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311000008</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EA4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血液透析滤过</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93F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含透析液、置换液</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C087">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D62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647C">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195488C7">
        <w:tblPrEx>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889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529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311000009</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7134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连续性血浆滤过吸附</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1E37">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77D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滤器</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AF5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EA1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免疫吸附法1690元</w:t>
            </w:r>
          </w:p>
        </w:tc>
      </w:tr>
      <w:tr w14:paraId="30D87858">
        <w:tblPrEx>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A035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BDE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311000009-1</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013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连续性血浆滤过吸附（免疫吸附法）</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4346">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CF00E">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6EE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3817">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4DB9012B">
        <w:tblPrEx>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AAB5E">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0DA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311000010 </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532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血液灌流</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FA3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含透析、透析液</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697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血液灌流器</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4E4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70F7">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2A27F1B4">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344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163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311000011 </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C8C2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连续性血液净化</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145B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含置换液、透析液；包括人工法、机器法</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00E8A">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血滤器和管路</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93E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8F4E">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08A31485">
        <w:tblPrEx>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5200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B1D8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311000011-1</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1C60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连续性血液净化(机器法加收)</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AD0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含置换液、透析液；包括人工法、机器法</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17EB5">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血滤器和管路</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2C8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58A8">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6818227C">
        <w:tblPrEx>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D98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154C">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311000012 </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1C54">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血透监测</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BE92B">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包括血温、血压、血容量、在线尿素监测</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CA96">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3D9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AF0CA">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09FF11F3">
        <w:tblPrEx>
          <w:shd w:val="clear" w:color="auto" w:fill="auto"/>
          <w:tblCellMar>
            <w:top w:w="0" w:type="dxa"/>
            <w:left w:w="108" w:type="dxa"/>
            <w:bottom w:w="0" w:type="dxa"/>
            <w:right w:w="108" w:type="dxa"/>
          </w:tblCellMar>
        </w:tblPrEx>
        <w:trPr>
          <w:trHeight w:val="6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40EE9">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B4C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311000041</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F3857">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家庭腹膜透析治疗</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FC1F">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在院外自行进行透析换液治疗的患者进行培训、指导及随访。含腹透液加温、加药、腹透换液操作、废液的测量和处理。连接管路、接口消毒处理，室内用紫外线消毒40分钟、清洗消毒液擦洗地面、用75%酒精擦洗桌面，洗手（6步骤）至少2分钟，戴口罩，取出加温好的透析液并检查（有效日期、浓度、是否浑浊、是否漏液、温度、拉环是否完整、绿塞子是否折断），打开透析液外包装袋，再次检查内袋是否有渗漏，用蓝夹子夹住入水管路，再将透析液袋子堵绿塞管折断，并将袋子挂在透析液架子上，将透析短管与透析液管路快速对接，拧紧，打开腹部短管旋转开关，将腹腔中前次灌入的透析液排入至空袋中，关闭短管，将入水管夹打开，排空管路中空气，打开透析短管，将新的透析液灌入腹腔，关闭透析短管，将碘伏小帽与短管接口处拧紧。对患者定期随访（电话随访、门诊随访，必要时居家探访）。临床状况评估、出口处及隧道评估、导管相关并发症评估、腹膜炎危险因素评估、生存质量、营养及心理状态评估、透析处方和药物调整等</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947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碘伏小帽，腹膜透析导管，腹膜透析短管，接头，管路夹</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96590">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疗程/月</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DB418">
            <w:pPr>
              <w:keepNext w:val="0"/>
              <w:keepLines w:val="0"/>
              <w:pageBreakBefore w:val="0"/>
              <w:kinsoku/>
              <w:wordWrap/>
              <w:overflowPunct/>
              <w:topLinePunct w:val="0"/>
              <w:autoSpaceDE/>
              <w:autoSpaceDN/>
              <w:bidi w:val="0"/>
              <w:adjustRightInd/>
              <w:snapToGrid/>
              <w:ind w:left="-63" w:leftChars="-30" w:right="-63" w:rightChars="-30"/>
              <w:jc w:val="both"/>
              <w:rPr>
                <w:rFonts w:hint="eastAsia" w:ascii="宋体" w:hAnsi="宋体" w:eastAsia="宋体" w:cs="宋体"/>
                <w:i w:val="0"/>
                <w:iCs w:val="0"/>
                <w:color w:val="000000"/>
                <w:sz w:val="20"/>
                <w:szCs w:val="20"/>
                <w:u w:val="none"/>
              </w:rPr>
            </w:pPr>
          </w:p>
        </w:tc>
      </w:tr>
      <w:tr w14:paraId="175B0794">
        <w:tblPrEx>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AFB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E6FD">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QYLS00123</w:t>
            </w:r>
          </w:p>
        </w:tc>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EA81">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功能不良内瘘溶栓术</w:t>
            </w:r>
          </w:p>
        </w:tc>
        <w:tc>
          <w:tcPr>
            <w:tcW w:w="5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AF22">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对于内瘘在使用过程中出现出血不畅，不能保证足够的血流量供血液净化治疗，用溶栓药物注射进瘘管。</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42B3">
            <w:pPr>
              <w:keepNext w:val="0"/>
              <w:keepLines w:val="0"/>
              <w:pageBreakBefore w:val="0"/>
              <w:kinsoku/>
              <w:wordWrap/>
              <w:overflowPunct/>
              <w:topLinePunct w:val="0"/>
              <w:autoSpaceDE/>
              <w:autoSpaceDN/>
              <w:bidi w:val="0"/>
              <w:adjustRightInd/>
              <w:snapToGrid/>
              <w:ind w:left="-63" w:leftChars="-30" w:right="-63" w:rightChars="-30"/>
              <w:jc w:val="center"/>
              <w:rPr>
                <w:rFonts w:hint="eastAsia" w:ascii="宋体" w:hAnsi="宋体" w:eastAsia="宋体" w:cs="宋体"/>
                <w:i w:val="0"/>
                <w:iCs w:val="0"/>
                <w:color w:val="000000"/>
                <w:sz w:val="20"/>
                <w:szCs w:val="20"/>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846A6">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46F8">
            <w:pPr>
              <w:keepNext w:val="0"/>
              <w:keepLines w:val="0"/>
              <w:pageBreakBefore w:val="0"/>
              <w:widowControl/>
              <w:suppressLineNumbers w:val="0"/>
              <w:kinsoku/>
              <w:wordWrap/>
              <w:overflowPunct/>
              <w:topLinePunct w:val="0"/>
              <w:autoSpaceDE/>
              <w:autoSpaceDN/>
              <w:bidi w:val="0"/>
              <w:adjustRightInd/>
              <w:snapToGrid/>
              <w:ind w:left="-63" w:leftChars="-30" w:right="-63" w:rightChars="-3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仅限广东省人民医院赣州医院使用。</w:t>
            </w:r>
          </w:p>
        </w:tc>
      </w:tr>
    </w:tbl>
    <w:p w14:paraId="549DFC17">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rPr>
          <w:rFonts w:hint="default" w:ascii="Times New Roman" w:hAnsi="Times New Roman" w:eastAsia="仿宋_GB2312" w:cs="仿宋_GB2312"/>
          <w:sz w:val="32"/>
          <w:szCs w:val="32"/>
          <w:lang w:val="en-US" w:eastAsia="zh-CN"/>
        </w:rPr>
        <w:sectPr>
          <w:footerReference r:id="rId4" w:type="default"/>
          <w:pgSz w:w="16838" w:h="11906" w:orient="landscape"/>
          <w:pgMar w:top="850" w:right="850" w:bottom="850" w:left="850" w:header="851" w:footer="567" w:gutter="0"/>
          <w:pgNumType w:fmt="decimal"/>
          <w:cols w:space="0" w:num="1"/>
          <w:rtlGutter w:val="0"/>
          <w:docGrid w:type="lines" w:linePitch="323" w:charSpace="0"/>
        </w:sectPr>
      </w:pPr>
    </w:p>
    <w:p w14:paraId="327A922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03FACA59">
      <w:pPr>
        <w:keepNext w:val="0"/>
        <w:keepLines w:val="0"/>
        <w:pageBreakBefore w:val="0"/>
        <w:widowControl w:val="0"/>
        <w:kinsoku/>
        <w:wordWrap w:val="0"/>
        <w:overflowPunct/>
        <w:topLinePunct w:val="0"/>
        <w:autoSpaceDE/>
        <w:autoSpaceDN/>
        <w:bidi w:val="0"/>
        <w:adjustRightInd/>
        <w:snapToGrid/>
        <w:spacing w:before="163" w:beforeLines="50" w:line="240" w:lineRule="auto"/>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w:t>
      </w:r>
      <w:r>
        <w:rPr>
          <w:rFonts w:hint="default" w:ascii="方正小标宋简体" w:hAnsi="方正小标宋简体" w:eastAsia="方正小标宋简体" w:cs="方正小标宋简体"/>
          <w:sz w:val="44"/>
          <w:szCs w:val="44"/>
          <w:lang w:val="en-US" w:eastAsia="zh-CN"/>
        </w:rPr>
        <w:t>医疗服务价格项目</w:t>
      </w:r>
      <w:r>
        <w:rPr>
          <w:rFonts w:hint="eastAsia" w:ascii="方正小标宋简体" w:hAnsi="方正小标宋简体" w:eastAsia="方正小标宋简体" w:cs="方正小标宋简体"/>
          <w:sz w:val="44"/>
          <w:szCs w:val="44"/>
          <w:lang w:val="en-US" w:eastAsia="zh-CN"/>
        </w:rPr>
        <w:t>修订</w:t>
      </w:r>
      <w:r>
        <w:rPr>
          <w:rFonts w:hint="default" w:ascii="方正小标宋简体" w:hAnsi="方正小标宋简体" w:eastAsia="方正小标宋简体" w:cs="方正小标宋简体"/>
          <w:sz w:val="44"/>
          <w:szCs w:val="44"/>
          <w:lang w:val="en-US" w:eastAsia="zh-CN"/>
        </w:rPr>
        <w:t>表</w:t>
      </w:r>
    </w:p>
    <w:tbl>
      <w:tblPr>
        <w:tblStyle w:val="9"/>
        <w:tblW w:w="151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547"/>
        <w:gridCol w:w="1154"/>
        <w:gridCol w:w="1350"/>
        <w:gridCol w:w="1185"/>
        <w:gridCol w:w="2400"/>
        <w:gridCol w:w="960"/>
        <w:gridCol w:w="960"/>
        <w:gridCol w:w="765"/>
        <w:gridCol w:w="656"/>
        <w:gridCol w:w="735"/>
        <w:gridCol w:w="750"/>
        <w:gridCol w:w="789"/>
        <w:gridCol w:w="782"/>
        <w:gridCol w:w="1714"/>
      </w:tblGrid>
      <w:tr w14:paraId="0EEFF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blHeader/>
        </w:trPr>
        <w:tc>
          <w:tcPr>
            <w:tcW w:w="381" w:type="dxa"/>
            <w:noWrap w:val="0"/>
            <w:vAlign w:val="center"/>
          </w:tcPr>
          <w:p w14:paraId="09C5572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序号</w:t>
            </w:r>
          </w:p>
        </w:tc>
        <w:tc>
          <w:tcPr>
            <w:tcW w:w="547" w:type="dxa"/>
            <w:noWrap w:val="0"/>
            <w:vAlign w:val="center"/>
          </w:tcPr>
          <w:p w14:paraId="2C79ED4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财务分类</w:t>
            </w:r>
          </w:p>
        </w:tc>
        <w:tc>
          <w:tcPr>
            <w:tcW w:w="1154" w:type="dxa"/>
            <w:noWrap w:val="0"/>
            <w:vAlign w:val="center"/>
          </w:tcPr>
          <w:p w14:paraId="7D93C4C9">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国家项目代码</w:t>
            </w:r>
          </w:p>
        </w:tc>
        <w:tc>
          <w:tcPr>
            <w:tcW w:w="1350" w:type="dxa"/>
            <w:noWrap w:val="0"/>
            <w:vAlign w:val="center"/>
          </w:tcPr>
          <w:p w14:paraId="4E5568A5">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国家项目名称</w:t>
            </w:r>
          </w:p>
        </w:tc>
        <w:tc>
          <w:tcPr>
            <w:tcW w:w="1185" w:type="dxa"/>
            <w:noWrap w:val="0"/>
            <w:vAlign w:val="center"/>
          </w:tcPr>
          <w:p w14:paraId="1DE3959E">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江西项目代码</w:t>
            </w:r>
          </w:p>
        </w:tc>
        <w:tc>
          <w:tcPr>
            <w:tcW w:w="2400" w:type="dxa"/>
            <w:noWrap w:val="0"/>
            <w:vAlign w:val="center"/>
          </w:tcPr>
          <w:p w14:paraId="10F7A87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江西项目名称</w:t>
            </w:r>
          </w:p>
        </w:tc>
        <w:tc>
          <w:tcPr>
            <w:tcW w:w="960" w:type="dxa"/>
            <w:noWrap w:val="0"/>
            <w:vAlign w:val="center"/>
          </w:tcPr>
          <w:p w14:paraId="101E463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项目内涵</w:t>
            </w:r>
          </w:p>
        </w:tc>
        <w:tc>
          <w:tcPr>
            <w:tcW w:w="960" w:type="dxa"/>
            <w:noWrap w:val="0"/>
            <w:vAlign w:val="center"/>
          </w:tcPr>
          <w:p w14:paraId="016C7ED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sz w:val="22"/>
                <w:szCs w:val="22"/>
                <w:vertAlign w:val="baseline"/>
                <w:lang w:val="en-US" w:eastAsia="zh-CN"/>
              </w:rPr>
            </w:pPr>
            <w:r>
              <w:rPr>
                <w:rFonts w:hint="eastAsia" w:ascii="黑体" w:hAnsi="黑体" w:eastAsia="黑体" w:cs="黑体"/>
                <w:b w:val="0"/>
                <w:bCs w:val="0"/>
                <w:i w:val="0"/>
                <w:iCs w:val="0"/>
                <w:color w:val="000000"/>
                <w:kern w:val="0"/>
                <w:sz w:val="20"/>
                <w:szCs w:val="20"/>
                <w:u w:val="none"/>
                <w:lang w:val="en-US" w:eastAsia="zh-CN" w:bidi="ar"/>
              </w:rPr>
              <w:t>除外内容</w:t>
            </w:r>
          </w:p>
        </w:tc>
        <w:tc>
          <w:tcPr>
            <w:tcW w:w="765" w:type="dxa"/>
            <w:noWrap w:val="0"/>
            <w:vAlign w:val="center"/>
          </w:tcPr>
          <w:p w14:paraId="0A44B9C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计价</w:t>
            </w:r>
          </w:p>
          <w:p w14:paraId="4DD35289">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color w:val="000000"/>
                <w:kern w:val="0"/>
                <w:sz w:val="22"/>
                <w:szCs w:val="22"/>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单位</w:t>
            </w:r>
          </w:p>
        </w:tc>
        <w:tc>
          <w:tcPr>
            <w:tcW w:w="656" w:type="dxa"/>
            <w:noWrap w:val="0"/>
            <w:vAlign w:val="center"/>
          </w:tcPr>
          <w:p w14:paraId="1A4D33B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三级价格（元）</w:t>
            </w:r>
          </w:p>
        </w:tc>
        <w:tc>
          <w:tcPr>
            <w:tcW w:w="735" w:type="dxa"/>
            <w:shd w:val="clear" w:color="auto" w:fill="auto"/>
            <w:noWrap w:val="0"/>
            <w:vAlign w:val="center"/>
          </w:tcPr>
          <w:p w14:paraId="3A1BC68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二级价格（元）</w:t>
            </w:r>
          </w:p>
        </w:tc>
        <w:tc>
          <w:tcPr>
            <w:tcW w:w="750" w:type="dxa"/>
            <w:shd w:val="clear" w:color="auto" w:fill="auto"/>
            <w:noWrap w:val="0"/>
            <w:vAlign w:val="center"/>
          </w:tcPr>
          <w:p w14:paraId="114348A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一级价格（元）</w:t>
            </w:r>
          </w:p>
        </w:tc>
        <w:tc>
          <w:tcPr>
            <w:tcW w:w="789" w:type="dxa"/>
            <w:noWrap w:val="0"/>
            <w:vAlign w:val="center"/>
          </w:tcPr>
          <w:p w14:paraId="3001A5F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说明</w:t>
            </w:r>
          </w:p>
        </w:tc>
        <w:tc>
          <w:tcPr>
            <w:tcW w:w="782" w:type="dxa"/>
            <w:noWrap w:val="0"/>
            <w:vAlign w:val="center"/>
          </w:tcPr>
          <w:p w14:paraId="473D380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医保支付类别</w:t>
            </w:r>
          </w:p>
        </w:tc>
        <w:tc>
          <w:tcPr>
            <w:tcW w:w="1714" w:type="dxa"/>
            <w:noWrap w:val="0"/>
            <w:vAlign w:val="center"/>
          </w:tcPr>
          <w:p w14:paraId="489131B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黑体" w:hAnsi="黑体" w:eastAsia="黑体" w:cs="黑体"/>
                <w:b w:val="0"/>
                <w:bCs w:val="0"/>
                <w:i w:val="0"/>
                <w:iCs w:val="0"/>
                <w:color w:val="000000"/>
                <w:kern w:val="0"/>
                <w:sz w:val="20"/>
                <w:szCs w:val="20"/>
                <w:u w:val="none"/>
                <w:lang w:val="en-US" w:eastAsia="zh-CN" w:bidi="ar"/>
              </w:rPr>
            </w:pPr>
            <w:r>
              <w:rPr>
                <w:rFonts w:hint="eastAsia" w:ascii="黑体" w:hAnsi="黑体" w:eastAsia="黑体" w:cs="黑体"/>
                <w:b w:val="0"/>
                <w:bCs w:val="0"/>
                <w:i w:val="0"/>
                <w:iCs w:val="0"/>
                <w:color w:val="000000"/>
                <w:kern w:val="0"/>
                <w:sz w:val="20"/>
                <w:szCs w:val="20"/>
                <w:u w:val="none"/>
                <w:lang w:val="en-US" w:eastAsia="zh-CN" w:bidi="ar"/>
              </w:rPr>
              <w:t>备注</w:t>
            </w:r>
          </w:p>
        </w:tc>
      </w:tr>
      <w:tr w14:paraId="2BCDE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2DFD4E1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547" w:type="dxa"/>
            <w:noWrap w:val="0"/>
            <w:vAlign w:val="center"/>
          </w:tcPr>
          <w:p w14:paraId="656363F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G</w:t>
            </w:r>
          </w:p>
        </w:tc>
        <w:tc>
          <w:tcPr>
            <w:tcW w:w="1154" w:type="dxa"/>
            <w:noWrap w:val="0"/>
            <w:vAlign w:val="center"/>
          </w:tcPr>
          <w:p w14:paraId="47F7D13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002504010250200</w:t>
            </w:r>
          </w:p>
        </w:tc>
        <w:tc>
          <w:tcPr>
            <w:tcW w:w="1350" w:type="dxa"/>
            <w:noWrap w:val="0"/>
            <w:vAlign w:val="center"/>
          </w:tcPr>
          <w:p w14:paraId="6068DB7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C—反应蛋白测定(CRP)</w:t>
            </w:r>
          </w:p>
        </w:tc>
        <w:tc>
          <w:tcPr>
            <w:tcW w:w="1185" w:type="dxa"/>
            <w:noWrap w:val="0"/>
            <w:vAlign w:val="center"/>
          </w:tcPr>
          <w:p w14:paraId="42CA0D9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250401025-2</w:t>
            </w:r>
          </w:p>
        </w:tc>
        <w:tc>
          <w:tcPr>
            <w:tcW w:w="2400" w:type="dxa"/>
            <w:noWrap w:val="0"/>
            <w:vAlign w:val="center"/>
          </w:tcPr>
          <w:p w14:paraId="2458C708">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C-反应蛋白测定</w:t>
            </w:r>
            <w:r>
              <w:rPr>
                <w:rFonts w:hint="default" w:ascii="宋体" w:hAnsi="宋体" w:eastAsia="宋体" w:cs="宋体"/>
                <w:i w:val="0"/>
                <w:iCs w:val="0"/>
                <w:strike/>
                <w:dstrike w:val="0"/>
                <w:color w:val="FF0000"/>
                <w:kern w:val="0"/>
                <w:sz w:val="20"/>
                <w:szCs w:val="20"/>
                <w:u w:val="none"/>
                <w:lang w:val="en-US" w:eastAsia="zh-CN" w:bidi="ar"/>
              </w:rPr>
              <w:t>(CRP)(单扩法)</w:t>
            </w:r>
          </w:p>
        </w:tc>
        <w:tc>
          <w:tcPr>
            <w:tcW w:w="960" w:type="dxa"/>
            <w:noWrap w:val="0"/>
            <w:vAlign w:val="center"/>
          </w:tcPr>
          <w:p w14:paraId="5CF0722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含</w:t>
            </w:r>
            <w:r>
              <w:rPr>
                <w:rFonts w:hint="default" w:ascii="宋体" w:hAnsi="宋体" w:eastAsia="宋体" w:cs="宋体"/>
                <w:i w:val="0"/>
                <w:iCs w:val="0"/>
                <w:color w:val="000000"/>
                <w:kern w:val="0"/>
                <w:sz w:val="20"/>
                <w:szCs w:val="20"/>
                <w:u w:val="none"/>
                <w:lang w:val="en-US" w:eastAsia="zh-CN" w:bidi="ar"/>
              </w:rPr>
              <w:t>超敏C反应蛋白测定</w:t>
            </w:r>
          </w:p>
        </w:tc>
        <w:tc>
          <w:tcPr>
            <w:tcW w:w="960" w:type="dxa"/>
            <w:noWrap w:val="0"/>
            <w:vAlign w:val="center"/>
          </w:tcPr>
          <w:p w14:paraId="4207126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1EF960EA">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项</w:t>
            </w:r>
          </w:p>
        </w:tc>
        <w:tc>
          <w:tcPr>
            <w:tcW w:w="656" w:type="dxa"/>
            <w:noWrap w:val="0"/>
            <w:vAlign w:val="center"/>
          </w:tcPr>
          <w:p w14:paraId="554EF94A">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cs="宋体"/>
                <w:i w:val="0"/>
                <w:iCs w:val="0"/>
                <w:strike/>
                <w:dstrike w:val="0"/>
                <w:color w:val="FF0000"/>
                <w:kern w:val="0"/>
                <w:sz w:val="20"/>
                <w:szCs w:val="20"/>
                <w:u w:val="none"/>
                <w:lang w:val="en-US" w:eastAsia="zh-CN" w:bidi="ar"/>
              </w:rPr>
            </w:pPr>
            <w:r>
              <w:rPr>
                <w:rFonts w:hint="eastAsia" w:ascii="宋体" w:hAnsi="宋体" w:cs="宋体"/>
                <w:i w:val="0"/>
                <w:iCs w:val="0"/>
                <w:strike/>
                <w:dstrike w:val="0"/>
                <w:color w:val="FF0000"/>
                <w:kern w:val="0"/>
                <w:sz w:val="20"/>
                <w:szCs w:val="20"/>
                <w:u w:val="none"/>
                <w:lang w:val="en-US" w:eastAsia="zh-CN" w:bidi="ar"/>
              </w:rPr>
              <w:t>9.5</w:t>
            </w:r>
          </w:p>
          <w:p w14:paraId="04A9751A">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8</w:t>
            </w:r>
          </w:p>
        </w:tc>
        <w:tc>
          <w:tcPr>
            <w:tcW w:w="735" w:type="dxa"/>
            <w:shd w:val="clear" w:color="auto" w:fill="auto"/>
            <w:noWrap w:val="0"/>
            <w:vAlign w:val="center"/>
          </w:tcPr>
          <w:p w14:paraId="319BE7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cs="宋体"/>
                <w:i w:val="0"/>
                <w:iCs w:val="0"/>
                <w:strike/>
                <w:dstrike w:val="0"/>
                <w:color w:val="FF0000"/>
                <w:kern w:val="0"/>
                <w:sz w:val="20"/>
                <w:szCs w:val="20"/>
                <w:u w:val="none"/>
                <w:lang w:val="en-US" w:eastAsia="zh-CN" w:bidi="ar"/>
              </w:rPr>
            </w:pPr>
            <w:r>
              <w:rPr>
                <w:rFonts w:hint="eastAsia" w:ascii="宋体" w:hAnsi="宋体" w:cs="宋体"/>
                <w:i w:val="0"/>
                <w:iCs w:val="0"/>
                <w:strike/>
                <w:dstrike w:val="0"/>
                <w:color w:val="FF0000"/>
                <w:kern w:val="0"/>
                <w:sz w:val="20"/>
                <w:szCs w:val="20"/>
                <w:u w:val="none"/>
                <w:lang w:val="en-US" w:eastAsia="zh-CN" w:bidi="ar"/>
              </w:rPr>
              <w:t>9.5</w:t>
            </w:r>
          </w:p>
          <w:p w14:paraId="7F42A9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strike w:val="0"/>
                <w:dstrike w:val="0"/>
                <w:color w:val="FF0000"/>
                <w:kern w:val="0"/>
                <w:sz w:val="20"/>
                <w:szCs w:val="20"/>
                <w:u w:val="none"/>
                <w:lang w:val="en-US" w:eastAsia="zh-CN" w:bidi="ar"/>
              </w:rPr>
            </w:pPr>
            <w:r>
              <w:rPr>
                <w:rFonts w:hint="eastAsia" w:ascii="宋体" w:hAnsi="宋体" w:cs="宋体"/>
                <w:i w:val="0"/>
                <w:iCs w:val="0"/>
                <w:strike w:val="0"/>
                <w:dstrike w:val="0"/>
                <w:color w:val="auto"/>
                <w:kern w:val="0"/>
                <w:sz w:val="20"/>
                <w:szCs w:val="20"/>
                <w:u w:val="none"/>
                <w:lang w:val="en-US" w:eastAsia="zh-CN" w:bidi="ar"/>
              </w:rPr>
              <w:t>18</w:t>
            </w:r>
          </w:p>
        </w:tc>
        <w:tc>
          <w:tcPr>
            <w:tcW w:w="750" w:type="dxa"/>
            <w:shd w:val="clear" w:color="auto" w:fill="auto"/>
            <w:noWrap w:val="0"/>
            <w:vAlign w:val="center"/>
          </w:tcPr>
          <w:p w14:paraId="3A44D24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cs="宋体"/>
                <w:i w:val="0"/>
                <w:iCs w:val="0"/>
                <w:strike/>
                <w:dstrike w:val="0"/>
                <w:color w:val="FF0000"/>
                <w:kern w:val="0"/>
                <w:sz w:val="20"/>
                <w:szCs w:val="20"/>
                <w:u w:val="none"/>
                <w:lang w:val="en-US" w:eastAsia="zh-CN" w:bidi="ar"/>
              </w:rPr>
            </w:pPr>
            <w:r>
              <w:rPr>
                <w:rFonts w:hint="eastAsia" w:ascii="宋体" w:hAnsi="宋体" w:cs="宋体"/>
                <w:i w:val="0"/>
                <w:iCs w:val="0"/>
                <w:strike/>
                <w:dstrike w:val="0"/>
                <w:color w:val="FF0000"/>
                <w:kern w:val="0"/>
                <w:sz w:val="20"/>
                <w:szCs w:val="20"/>
                <w:u w:val="none"/>
                <w:lang w:val="en-US" w:eastAsia="zh-CN" w:bidi="ar"/>
              </w:rPr>
              <w:t>9.5</w:t>
            </w:r>
          </w:p>
          <w:p w14:paraId="1B037B7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strike/>
                <w:dstrike w:val="0"/>
                <w:color w:val="FF0000"/>
                <w:kern w:val="0"/>
                <w:sz w:val="20"/>
                <w:szCs w:val="20"/>
                <w:u w:val="none"/>
                <w:lang w:val="en-US" w:eastAsia="zh-CN" w:bidi="ar"/>
              </w:rPr>
            </w:pPr>
            <w:r>
              <w:rPr>
                <w:rFonts w:hint="eastAsia" w:ascii="宋体" w:hAnsi="宋体" w:cs="宋体"/>
                <w:i w:val="0"/>
                <w:iCs w:val="0"/>
                <w:strike w:val="0"/>
                <w:dstrike w:val="0"/>
                <w:color w:val="auto"/>
                <w:kern w:val="0"/>
                <w:sz w:val="20"/>
                <w:szCs w:val="20"/>
                <w:u w:val="none"/>
                <w:lang w:val="en-US" w:eastAsia="zh-CN" w:bidi="ar"/>
              </w:rPr>
              <w:t>18</w:t>
            </w:r>
          </w:p>
        </w:tc>
        <w:tc>
          <w:tcPr>
            <w:tcW w:w="789" w:type="dxa"/>
            <w:noWrap w:val="0"/>
            <w:vAlign w:val="center"/>
          </w:tcPr>
          <w:p w14:paraId="6E132FD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strike/>
                <w:dstrike w:val="0"/>
                <w:color w:val="FF0000"/>
                <w:kern w:val="0"/>
                <w:sz w:val="20"/>
                <w:szCs w:val="20"/>
                <w:u w:val="none"/>
                <w:lang w:val="en-US" w:eastAsia="zh-CN" w:bidi="ar"/>
              </w:rPr>
              <w:t>单扩法</w:t>
            </w:r>
          </w:p>
        </w:tc>
        <w:tc>
          <w:tcPr>
            <w:tcW w:w="782" w:type="dxa"/>
            <w:noWrap w:val="0"/>
            <w:vAlign w:val="center"/>
          </w:tcPr>
          <w:p w14:paraId="426CF60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c>
          <w:tcPr>
            <w:tcW w:w="1714" w:type="dxa"/>
            <w:noWrap w:val="0"/>
            <w:vAlign w:val="center"/>
          </w:tcPr>
          <w:p w14:paraId="59E0B5E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修订：将</w:t>
            </w:r>
            <w:r>
              <w:rPr>
                <w:rFonts w:hint="default" w:ascii="宋体" w:hAnsi="宋体" w:eastAsia="宋体" w:cs="宋体"/>
                <w:i w:val="0"/>
                <w:iCs w:val="0"/>
                <w:color w:val="000000"/>
                <w:kern w:val="0"/>
                <w:sz w:val="20"/>
                <w:szCs w:val="20"/>
                <w:u w:val="none"/>
                <w:lang w:val="en-US" w:eastAsia="zh-CN" w:bidi="ar"/>
              </w:rPr>
              <w:t>C-反应蛋白测定</w:t>
            </w:r>
            <w:r>
              <w:rPr>
                <w:rFonts w:hint="eastAsia" w:ascii="宋体" w:hAnsi="宋体" w:eastAsia="宋体" w:cs="宋体"/>
                <w:i w:val="0"/>
                <w:iCs w:val="0"/>
                <w:color w:val="000000"/>
                <w:kern w:val="0"/>
                <w:sz w:val="20"/>
                <w:szCs w:val="20"/>
                <w:u w:val="none"/>
                <w:lang w:val="en-US" w:eastAsia="zh-CN" w:bidi="ar"/>
              </w:rPr>
              <w:t>与</w:t>
            </w:r>
            <w:r>
              <w:rPr>
                <w:rFonts w:hint="default" w:ascii="宋体" w:hAnsi="宋体" w:eastAsia="宋体" w:cs="宋体"/>
                <w:i w:val="0"/>
                <w:iCs w:val="0"/>
                <w:color w:val="000000"/>
                <w:kern w:val="0"/>
                <w:sz w:val="20"/>
                <w:szCs w:val="20"/>
                <w:u w:val="none"/>
                <w:lang w:val="en-US" w:eastAsia="zh-CN" w:bidi="ar"/>
              </w:rPr>
              <w:t>超敏C反应蛋白测定</w:t>
            </w:r>
            <w:r>
              <w:rPr>
                <w:rFonts w:hint="eastAsia" w:ascii="宋体" w:hAnsi="宋体" w:eastAsia="宋体" w:cs="宋体"/>
                <w:i w:val="0"/>
                <w:iCs w:val="0"/>
                <w:color w:val="000000"/>
                <w:kern w:val="0"/>
                <w:sz w:val="20"/>
                <w:szCs w:val="20"/>
                <w:u w:val="none"/>
                <w:lang w:val="en-US" w:eastAsia="zh-CN" w:bidi="ar"/>
              </w:rPr>
              <w:t>进行合并，取消方法学</w:t>
            </w:r>
          </w:p>
        </w:tc>
      </w:tr>
      <w:tr w14:paraId="76C7A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265A970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547" w:type="dxa"/>
            <w:noWrap w:val="0"/>
            <w:vAlign w:val="center"/>
          </w:tcPr>
          <w:p w14:paraId="2F7EC07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G</w:t>
            </w:r>
          </w:p>
        </w:tc>
        <w:tc>
          <w:tcPr>
            <w:tcW w:w="1154" w:type="dxa"/>
            <w:noWrap w:val="0"/>
            <w:vAlign w:val="center"/>
          </w:tcPr>
          <w:p w14:paraId="7685C07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002504010250000</w:t>
            </w:r>
          </w:p>
        </w:tc>
        <w:tc>
          <w:tcPr>
            <w:tcW w:w="1350" w:type="dxa"/>
            <w:noWrap w:val="0"/>
            <w:vAlign w:val="center"/>
          </w:tcPr>
          <w:p w14:paraId="665759FE">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C—反应蛋白测定(CRP)</w:t>
            </w:r>
          </w:p>
        </w:tc>
        <w:tc>
          <w:tcPr>
            <w:tcW w:w="1185" w:type="dxa"/>
            <w:noWrap w:val="0"/>
            <w:vAlign w:val="center"/>
          </w:tcPr>
          <w:p w14:paraId="00E040B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250401025-1</w:t>
            </w:r>
          </w:p>
        </w:tc>
        <w:tc>
          <w:tcPr>
            <w:tcW w:w="2400" w:type="dxa"/>
            <w:noWrap w:val="0"/>
            <w:vAlign w:val="center"/>
          </w:tcPr>
          <w:p w14:paraId="5DB2CDFB">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C-反应蛋白测定(CRP)(散射速率法)</w:t>
            </w:r>
          </w:p>
        </w:tc>
        <w:tc>
          <w:tcPr>
            <w:tcW w:w="960" w:type="dxa"/>
            <w:noWrap w:val="0"/>
            <w:vAlign w:val="center"/>
          </w:tcPr>
          <w:p w14:paraId="7C6FF6CB">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60" w:type="dxa"/>
            <w:noWrap w:val="0"/>
            <w:vAlign w:val="center"/>
          </w:tcPr>
          <w:p w14:paraId="386A443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562E7B6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项</w:t>
            </w:r>
          </w:p>
        </w:tc>
        <w:tc>
          <w:tcPr>
            <w:tcW w:w="656" w:type="dxa"/>
            <w:noWrap w:val="0"/>
            <w:vAlign w:val="center"/>
          </w:tcPr>
          <w:p w14:paraId="631FF46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38</w:t>
            </w:r>
          </w:p>
        </w:tc>
        <w:tc>
          <w:tcPr>
            <w:tcW w:w="735" w:type="dxa"/>
            <w:shd w:val="clear" w:color="auto" w:fill="auto"/>
            <w:noWrap w:val="0"/>
            <w:vAlign w:val="center"/>
          </w:tcPr>
          <w:p w14:paraId="22397F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p>
        </w:tc>
        <w:tc>
          <w:tcPr>
            <w:tcW w:w="750" w:type="dxa"/>
            <w:shd w:val="clear" w:color="auto" w:fill="auto"/>
            <w:noWrap w:val="0"/>
            <w:vAlign w:val="center"/>
          </w:tcPr>
          <w:p w14:paraId="6FE2B4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p>
        </w:tc>
        <w:tc>
          <w:tcPr>
            <w:tcW w:w="789" w:type="dxa"/>
            <w:noWrap w:val="0"/>
            <w:vAlign w:val="center"/>
          </w:tcPr>
          <w:p w14:paraId="1E18C8BB">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散射速率法</w:t>
            </w:r>
          </w:p>
        </w:tc>
        <w:tc>
          <w:tcPr>
            <w:tcW w:w="782" w:type="dxa"/>
            <w:noWrap w:val="0"/>
            <w:vAlign w:val="center"/>
          </w:tcPr>
          <w:p w14:paraId="41D2DA7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c>
          <w:tcPr>
            <w:tcW w:w="1714" w:type="dxa"/>
            <w:noWrap w:val="0"/>
            <w:vAlign w:val="center"/>
          </w:tcPr>
          <w:p w14:paraId="2EF6011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废止</w:t>
            </w:r>
          </w:p>
        </w:tc>
      </w:tr>
      <w:tr w14:paraId="2EC5C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1B88805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547" w:type="dxa"/>
            <w:noWrap w:val="0"/>
            <w:vAlign w:val="center"/>
          </w:tcPr>
          <w:p w14:paraId="3070A063">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G</w:t>
            </w:r>
          </w:p>
        </w:tc>
        <w:tc>
          <w:tcPr>
            <w:tcW w:w="1154" w:type="dxa"/>
            <w:noWrap w:val="0"/>
            <w:vAlign w:val="center"/>
          </w:tcPr>
          <w:p w14:paraId="688B630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002503010170000</w:t>
            </w:r>
          </w:p>
        </w:tc>
        <w:tc>
          <w:tcPr>
            <w:tcW w:w="1350" w:type="dxa"/>
            <w:noWrap w:val="0"/>
            <w:vAlign w:val="center"/>
          </w:tcPr>
          <w:p w14:paraId="35AA273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超敏C反应蛋白测定</w:t>
            </w:r>
          </w:p>
        </w:tc>
        <w:tc>
          <w:tcPr>
            <w:tcW w:w="1185" w:type="dxa"/>
            <w:noWrap w:val="0"/>
            <w:vAlign w:val="center"/>
          </w:tcPr>
          <w:p w14:paraId="1E944968">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250301017</w:t>
            </w:r>
          </w:p>
        </w:tc>
        <w:tc>
          <w:tcPr>
            <w:tcW w:w="2400" w:type="dxa"/>
            <w:noWrap w:val="0"/>
            <w:vAlign w:val="center"/>
          </w:tcPr>
          <w:p w14:paraId="39257076">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超敏C反应蛋白测定</w:t>
            </w:r>
          </w:p>
        </w:tc>
        <w:tc>
          <w:tcPr>
            <w:tcW w:w="960" w:type="dxa"/>
            <w:noWrap w:val="0"/>
            <w:vAlign w:val="center"/>
          </w:tcPr>
          <w:p w14:paraId="140FD54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60" w:type="dxa"/>
            <w:noWrap w:val="0"/>
            <w:vAlign w:val="center"/>
          </w:tcPr>
          <w:p w14:paraId="0073E6C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4B8D59F6">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项</w:t>
            </w:r>
          </w:p>
        </w:tc>
        <w:tc>
          <w:tcPr>
            <w:tcW w:w="656" w:type="dxa"/>
            <w:noWrap w:val="0"/>
            <w:vAlign w:val="center"/>
          </w:tcPr>
          <w:p w14:paraId="1248FC33">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w:t>
            </w:r>
          </w:p>
        </w:tc>
        <w:tc>
          <w:tcPr>
            <w:tcW w:w="735" w:type="dxa"/>
            <w:shd w:val="clear" w:color="auto" w:fill="auto"/>
            <w:noWrap w:val="0"/>
            <w:vAlign w:val="center"/>
          </w:tcPr>
          <w:p w14:paraId="398365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bookmarkStart w:id="0" w:name="_GoBack"/>
            <w:bookmarkEnd w:id="0"/>
          </w:p>
        </w:tc>
        <w:tc>
          <w:tcPr>
            <w:tcW w:w="750" w:type="dxa"/>
            <w:shd w:val="clear" w:color="auto" w:fill="auto"/>
            <w:noWrap w:val="0"/>
            <w:vAlign w:val="center"/>
          </w:tcPr>
          <w:p w14:paraId="755E13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p>
        </w:tc>
        <w:tc>
          <w:tcPr>
            <w:tcW w:w="789" w:type="dxa"/>
            <w:noWrap w:val="0"/>
            <w:vAlign w:val="center"/>
          </w:tcPr>
          <w:p w14:paraId="3306FBC6">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金标法加收40元。</w:t>
            </w:r>
          </w:p>
        </w:tc>
        <w:tc>
          <w:tcPr>
            <w:tcW w:w="782" w:type="dxa"/>
            <w:noWrap w:val="0"/>
            <w:vAlign w:val="center"/>
          </w:tcPr>
          <w:p w14:paraId="7FBDF66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c>
          <w:tcPr>
            <w:tcW w:w="1714" w:type="dxa"/>
            <w:noWrap w:val="0"/>
            <w:vAlign w:val="center"/>
          </w:tcPr>
          <w:p w14:paraId="3DE2006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废止</w:t>
            </w:r>
          </w:p>
        </w:tc>
      </w:tr>
      <w:tr w14:paraId="13ADC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74A78625">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547" w:type="dxa"/>
            <w:noWrap w:val="0"/>
            <w:vAlign w:val="center"/>
          </w:tcPr>
          <w:p w14:paraId="5A5BA70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G</w:t>
            </w:r>
          </w:p>
        </w:tc>
        <w:tc>
          <w:tcPr>
            <w:tcW w:w="1154" w:type="dxa"/>
            <w:noWrap w:val="0"/>
            <w:vAlign w:val="center"/>
          </w:tcPr>
          <w:p w14:paraId="0A458F8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002503010170000</w:t>
            </w:r>
          </w:p>
        </w:tc>
        <w:tc>
          <w:tcPr>
            <w:tcW w:w="1350" w:type="dxa"/>
            <w:noWrap w:val="0"/>
            <w:vAlign w:val="center"/>
          </w:tcPr>
          <w:p w14:paraId="1B6F9605">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超敏C反应蛋白测定</w:t>
            </w:r>
          </w:p>
        </w:tc>
        <w:tc>
          <w:tcPr>
            <w:tcW w:w="1185" w:type="dxa"/>
            <w:noWrap w:val="0"/>
            <w:vAlign w:val="center"/>
          </w:tcPr>
          <w:p w14:paraId="731E599A">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250301017-1</w:t>
            </w:r>
          </w:p>
        </w:tc>
        <w:tc>
          <w:tcPr>
            <w:tcW w:w="2400" w:type="dxa"/>
            <w:noWrap w:val="0"/>
            <w:vAlign w:val="center"/>
          </w:tcPr>
          <w:p w14:paraId="321BB2D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超敏C反应蛋白测定(金标法加收)</w:t>
            </w:r>
          </w:p>
        </w:tc>
        <w:tc>
          <w:tcPr>
            <w:tcW w:w="960" w:type="dxa"/>
            <w:noWrap w:val="0"/>
            <w:vAlign w:val="center"/>
          </w:tcPr>
          <w:p w14:paraId="65DB4DC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60" w:type="dxa"/>
            <w:noWrap w:val="0"/>
            <w:vAlign w:val="center"/>
          </w:tcPr>
          <w:p w14:paraId="463C09A8">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16C909E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项</w:t>
            </w:r>
          </w:p>
        </w:tc>
        <w:tc>
          <w:tcPr>
            <w:tcW w:w="656" w:type="dxa"/>
            <w:noWrap w:val="0"/>
            <w:vAlign w:val="center"/>
          </w:tcPr>
          <w:p w14:paraId="2EDA446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40</w:t>
            </w:r>
          </w:p>
        </w:tc>
        <w:tc>
          <w:tcPr>
            <w:tcW w:w="735" w:type="dxa"/>
            <w:shd w:val="clear" w:color="auto" w:fill="auto"/>
            <w:noWrap w:val="0"/>
            <w:vAlign w:val="center"/>
          </w:tcPr>
          <w:p w14:paraId="7D8BFA1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p>
        </w:tc>
        <w:tc>
          <w:tcPr>
            <w:tcW w:w="750" w:type="dxa"/>
            <w:shd w:val="clear" w:color="auto" w:fill="auto"/>
            <w:noWrap w:val="0"/>
            <w:vAlign w:val="center"/>
          </w:tcPr>
          <w:p w14:paraId="29B6C8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p>
        </w:tc>
        <w:tc>
          <w:tcPr>
            <w:tcW w:w="789" w:type="dxa"/>
            <w:noWrap w:val="0"/>
            <w:vAlign w:val="center"/>
          </w:tcPr>
          <w:p w14:paraId="6634BE45">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2" w:type="dxa"/>
            <w:noWrap w:val="0"/>
            <w:vAlign w:val="center"/>
          </w:tcPr>
          <w:p w14:paraId="12306D5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c>
          <w:tcPr>
            <w:tcW w:w="1714" w:type="dxa"/>
            <w:noWrap w:val="0"/>
            <w:vAlign w:val="center"/>
          </w:tcPr>
          <w:p w14:paraId="1642E0C3">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废止</w:t>
            </w:r>
          </w:p>
        </w:tc>
      </w:tr>
      <w:tr w14:paraId="00255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259FB40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547" w:type="dxa"/>
            <w:noWrap w:val="0"/>
            <w:vAlign w:val="center"/>
          </w:tcPr>
          <w:p w14:paraId="40A4677E">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G</w:t>
            </w:r>
          </w:p>
        </w:tc>
        <w:tc>
          <w:tcPr>
            <w:tcW w:w="1154" w:type="dxa"/>
            <w:noWrap w:val="0"/>
            <w:vAlign w:val="center"/>
          </w:tcPr>
          <w:p w14:paraId="4C9153C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002504030790000</w:t>
            </w:r>
          </w:p>
        </w:tc>
        <w:tc>
          <w:tcPr>
            <w:tcW w:w="1350" w:type="dxa"/>
            <w:noWrap w:val="0"/>
            <w:vAlign w:val="center"/>
          </w:tcPr>
          <w:p w14:paraId="0FB9CB0A">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13碳尿素呼气试验</w:t>
            </w:r>
          </w:p>
        </w:tc>
        <w:tc>
          <w:tcPr>
            <w:tcW w:w="1185" w:type="dxa"/>
            <w:noWrap w:val="0"/>
            <w:vAlign w:val="center"/>
          </w:tcPr>
          <w:p w14:paraId="579D1828">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250403079</w:t>
            </w:r>
          </w:p>
        </w:tc>
        <w:tc>
          <w:tcPr>
            <w:tcW w:w="2400" w:type="dxa"/>
            <w:noWrap w:val="0"/>
            <w:vAlign w:val="center"/>
          </w:tcPr>
          <w:p w14:paraId="344701D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13碳尿素呼气试验</w:t>
            </w:r>
          </w:p>
        </w:tc>
        <w:tc>
          <w:tcPr>
            <w:tcW w:w="960" w:type="dxa"/>
            <w:noWrap w:val="0"/>
            <w:vAlign w:val="center"/>
          </w:tcPr>
          <w:p w14:paraId="0B58721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60" w:type="dxa"/>
            <w:noWrap w:val="0"/>
            <w:vAlign w:val="center"/>
          </w:tcPr>
          <w:p w14:paraId="233A5D5F">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left"/>
              <w:textAlignment w:val="center"/>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25671407">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w:t>
            </w:r>
          </w:p>
        </w:tc>
        <w:tc>
          <w:tcPr>
            <w:tcW w:w="656" w:type="dxa"/>
            <w:noWrap w:val="0"/>
            <w:vAlign w:val="center"/>
          </w:tcPr>
          <w:p w14:paraId="4101EA0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strike/>
                <w:dstrike w:val="0"/>
                <w:color w:val="FF0000"/>
                <w:kern w:val="0"/>
                <w:sz w:val="20"/>
                <w:szCs w:val="20"/>
                <w:u w:val="none"/>
                <w:lang w:val="en-US" w:eastAsia="zh-CN" w:bidi="ar"/>
              </w:rPr>
            </w:pPr>
            <w:r>
              <w:rPr>
                <w:rFonts w:hint="eastAsia" w:ascii="宋体" w:hAnsi="宋体" w:eastAsia="宋体" w:cs="宋体"/>
                <w:i w:val="0"/>
                <w:iCs w:val="0"/>
                <w:strike/>
                <w:dstrike w:val="0"/>
                <w:color w:val="FF0000"/>
                <w:kern w:val="0"/>
                <w:sz w:val="20"/>
                <w:szCs w:val="20"/>
                <w:u w:val="none"/>
                <w:lang w:val="en-US" w:eastAsia="zh-CN" w:bidi="ar"/>
              </w:rPr>
              <w:t>238</w:t>
            </w:r>
          </w:p>
          <w:p w14:paraId="1E3AF81B">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0</w:t>
            </w:r>
          </w:p>
        </w:tc>
        <w:tc>
          <w:tcPr>
            <w:tcW w:w="735" w:type="dxa"/>
            <w:shd w:val="clear" w:color="auto" w:fill="auto"/>
            <w:noWrap w:val="0"/>
            <w:vAlign w:val="center"/>
          </w:tcPr>
          <w:p w14:paraId="7D758EE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cs="宋体"/>
                <w:i w:val="0"/>
                <w:iCs w:val="0"/>
                <w:strike/>
                <w:dstrike w:val="0"/>
                <w:color w:val="FF0000"/>
                <w:kern w:val="0"/>
                <w:sz w:val="20"/>
                <w:szCs w:val="20"/>
                <w:u w:val="none"/>
                <w:lang w:val="en-US" w:eastAsia="zh-CN" w:bidi="ar"/>
              </w:rPr>
            </w:pPr>
            <w:r>
              <w:rPr>
                <w:rFonts w:hint="eastAsia" w:ascii="宋体" w:hAnsi="宋体" w:cs="宋体"/>
                <w:i w:val="0"/>
                <w:iCs w:val="0"/>
                <w:strike/>
                <w:dstrike w:val="0"/>
                <w:color w:val="FF0000"/>
                <w:kern w:val="0"/>
                <w:sz w:val="20"/>
                <w:szCs w:val="20"/>
                <w:u w:val="none"/>
                <w:lang w:val="en-US" w:eastAsia="zh-CN" w:bidi="ar"/>
              </w:rPr>
              <w:t>220</w:t>
            </w:r>
          </w:p>
          <w:p w14:paraId="02615D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strike w:val="0"/>
                <w:dstrike w:val="0"/>
                <w:color w:val="FF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0</w:t>
            </w:r>
          </w:p>
        </w:tc>
        <w:tc>
          <w:tcPr>
            <w:tcW w:w="750" w:type="dxa"/>
            <w:shd w:val="clear" w:color="auto" w:fill="auto"/>
            <w:noWrap w:val="0"/>
            <w:vAlign w:val="center"/>
          </w:tcPr>
          <w:p w14:paraId="3A278AC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cs="宋体"/>
                <w:i w:val="0"/>
                <w:iCs w:val="0"/>
                <w:strike/>
                <w:dstrike w:val="0"/>
                <w:color w:val="FF0000"/>
                <w:kern w:val="0"/>
                <w:sz w:val="20"/>
                <w:szCs w:val="20"/>
                <w:u w:val="none"/>
                <w:lang w:val="en-US" w:eastAsia="zh-CN" w:bidi="ar"/>
              </w:rPr>
            </w:pPr>
            <w:r>
              <w:rPr>
                <w:rFonts w:hint="eastAsia" w:ascii="宋体" w:hAnsi="宋体" w:cs="宋体"/>
                <w:i w:val="0"/>
                <w:iCs w:val="0"/>
                <w:strike/>
                <w:dstrike w:val="0"/>
                <w:color w:val="FF0000"/>
                <w:kern w:val="0"/>
                <w:sz w:val="20"/>
                <w:szCs w:val="20"/>
                <w:u w:val="none"/>
                <w:lang w:val="en-US" w:eastAsia="zh-CN" w:bidi="ar"/>
              </w:rPr>
              <w:t>195</w:t>
            </w:r>
          </w:p>
          <w:p w14:paraId="7CF726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strike w:val="0"/>
                <w:dstrike w:val="0"/>
                <w:color w:val="FF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0</w:t>
            </w:r>
          </w:p>
        </w:tc>
        <w:tc>
          <w:tcPr>
            <w:tcW w:w="789" w:type="dxa"/>
            <w:noWrap w:val="0"/>
            <w:vAlign w:val="center"/>
          </w:tcPr>
          <w:p w14:paraId="1B1A5E4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2" w:type="dxa"/>
            <w:noWrap w:val="0"/>
            <w:vAlign w:val="center"/>
          </w:tcPr>
          <w:p w14:paraId="51FFAAF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乙类</w:t>
            </w:r>
          </w:p>
        </w:tc>
        <w:tc>
          <w:tcPr>
            <w:tcW w:w="1714" w:type="dxa"/>
            <w:noWrap w:val="0"/>
            <w:vAlign w:val="center"/>
          </w:tcPr>
          <w:p w14:paraId="5AFE1174">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调价</w:t>
            </w:r>
          </w:p>
        </w:tc>
      </w:tr>
      <w:tr w14:paraId="5DE98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dxa"/>
            <w:noWrap w:val="0"/>
            <w:vAlign w:val="center"/>
          </w:tcPr>
          <w:p w14:paraId="65D2695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6</w:t>
            </w:r>
          </w:p>
        </w:tc>
        <w:tc>
          <w:tcPr>
            <w:tcW w:w="547" w:type="dxa"/>
            <w:noWrap w:val="0"/>
            <w:vAlign w:val="center"/>
          </w:tcPr>
          <w:p w14:paraId="7CC6ED30">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E</w:t>
            </w:r>
          </w:p>
        </w:tc>
        <w:tc>
          <w:tcPr>
            <w:tcW w:w="1154" w:type="dxa"/>
            <w:noWrap w:val="0"/>
            <w:vAlign w:val="center"/>
          </w:tcPr>
          <w:p w14:paraId="03933AF2">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spacing w:val="-6"/>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003110000010000</w:t>
            </w:r>
          </w:p>
        </w:tc>
        <w:tc>
          <w:tcPr>
            <w:tcW w:w="1350" w:type="dxa"/>
            <w:noWrap w:val="0"/>
            <w:vAlign w:val="center"/>
          </w:tcPr>
          <w:p w14:paraId="465D1D33">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Segoe UI" w:hAnsi="Segoe UI" w:eastAsia="Segoe UI" w:cs="Segoe UI"/>
                <w:i w:val="0"/>
                <w:iCs w:val="0"/>
                <w:color w:val="000000"/>
                <w:kern w:val="0"/>
                <w:sz w:val="20"/>
                <w:szCs w:val="20"/>
                <w:u w:val="none"/>
                <w:lang w:val="en-US" w:eastAsia="zh-CN" w:bidi="ar"/>
              </w:rPr>
              <w:t>腹膜透析置管术</w:t>
            </w:r>
          </w:p>
        </w:tc>
        <w:tc>
          <w:tcPr>
            <w:tcW w:w="1185" w:type="dxa"/>
            <w:noWrap w:val="0"/>
            <w:vAlign w:val="center"/>
          </w:tcPr>
          <w:p w14:paraId="4F94DE8D">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311000001-2</w:t>
            </w:r>
          </w:p>
        </w:tc>
        <w:tc>
          <w:tcPr>
            <w:tcW w:w="2400" w:type="dxa"/>
            <w:noWrap w:val="0"/>
            <w:vAlign w:val="center"/>
          </w:tcPr>
          <w:p w14:paraId="66F5176B">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strike/>
                <w:dstrike w:val="0"/>
                <w:color w:val="FF0000"/>
                <w:kern w:val="0"/>
                <w:sz w:val="20"/>
                <w:szCs w:val="20"/>
                <w:lang w:val="en-US" w:eastAsia="zh-CN" w:bidi="ar"/>
              </w:rPr>
              <w:t>腹膜透析置管术（</w:t>
            </w:r>
            <w:r>
              <w:rPr>
                <w:rStyle w:val="15"/>
                <w:strike w:val="0"/>
                <w:dstrike w:val="0"/>
                <w:lang w:val="en-US" w:eastAsia="zh-CN" w:bidi="ar"/>
              </w:rPr>
              <w:t>腹腔神经丛置管术</w:t>
            </w:r>
            <w:r>
              <w:rPr>
                <w:rFonts w:hint="eastAsia" w:ascii="宋体" w:hAnsi="宋体" w:eastAsia="宋体" w:cs="宋体"/>
                <w:i w:val="0"/>
                <w:iCs w:val="0"/>
                <w:strike/>
                <w:dstrike w:val="0"/>
                <w:color w:val="FF0000"/>
                <w:kern w:val="0"/>
                <w:sz w:val="20"/>
                <w:szCs w:val="20"/>
                <w:lang w:val="en-US" w:eastAsia="zh-CN" w:bidi="ar"/>
              </w:rPr>
              <w:t>加收）</w:t>
            </w:r>
          </w:p>
        </w:tc>
        <w:tc>
          <w:tcPr>
            <w:tcW w:w="960" w:type="dxa"/>
            <w:noWrap w:val="0"/>
            <w:vAlign w:val="center"/>
          </w:tcPr>
          <w:p w14:paraId="4FF2E89D">
            <w:pPr>
              <w:keepNext w:val="0"/>
              <w:keepLines w:val="0"/>
              <w:pageBreakBefore w:val="0"/>
              <w:widowControl/>
              <w:kinsoku/>
              <w:wordWrap/>
              <w:overflowPunct/>
              <w:topLinePunct w:val="0"/>
              <w:autoSpaceDE/>
              <w:autoSpaceDN/>
              <w:bidi w:val="0"/>
              <w:adjustRightInd/>
              <w:snapToGrid/>
              <w:spacing w:line="360" w:lineRule="exact"/>
              <w:ind w:left="-63" w:leftChars="-30" w:right="-63" w:rightChars="-30"/>
              <w:jc w:val="center"/>
              <w:rPr>
                <w:rFonts w:hint="eastAsia" w:ascii="宋体" w:hAnsi="宋体" w:eastAsia="宋体" w:cs="宋体"/>
                <w:i w:val="0"/>
                <w:iCs w:val="0"/>
                <w:color w:val="000000"/>
                <w:kern w:val="0"/>
                <w:sz w:val="20"/>
                <w:szCs w:val="20"/>
                <w:u w:val="none"/>
                <w:lang w:val="en-US" w:eastAsia="zh-CN" w:bidi="ar"/>
              </w:rPr>
            </w:pPr>
          </w:p>
        </w:tc>
        <w:tc>
          <w:tcPr>
            <w:tcW w:w="960" w:type="dxa"/>
            <w:noWrap w:val="0"/>
            <w:vAlign w:val="center"/>
          </w:tcPr>
          <w:p w14:paraId="4E25A6E2">
            <w:pPr>
              <w:keepNext w:val="0"/>
              <w:keepLines w:val="0"/>
              <w:pageBreakBefore w:val="0"/>
              <w:widowControl/>
              <w:kinsoku/>
              <w:wordWrap/>
              <w:overflowPunct/>
              <w:topLinePunct w:val="0"/>
              <w:autoSpaceDE/>
              <w:autoSpaceDN/>
              <w:bidi w:val="0"/>
              <w:adjustRightInd/>
              <w:snapToGrid/>
              <w:spacing w:line="360" w:lineRule="exact"/>
              <w:ind w:left="-63" w:leftChars="-30" w:right="-63" w:rightChars="-30"/>
              <w:jc w:val="left"/>
              <w:rPr>
                <w:rFonts w:hint="eastAsia" w:ascii="宋体" w:hAnsi="宋体" w:eastAsia="宋体" w:cs="宋体"/>
                <w:i w:val="0"/>
                <w:iCs w:val="0"/>
                <w:color w:val="000000"/>
                <w:kern w:val="0"/>
                <w:sz w:val="20"/>
                <w:szCs w:val="20"/>
                <w:u w:val="none"/>
                <w:lang w:val="en-US" w:eastAsia="zh-CN" w:bidi="ar"/>
              </w:rPr>
            </w:pPr>
          </w:p>
        </w:tc>
        <w:tc>
          <w:tcPr>
            <w:tcW w:w="765" w:type="dxa"/>
            <w:noWrap w:val="0"/>
            <w:vAlign w:val="center"/>
          </w:tcPr>
          <w:p w14:paraId="0EF5207C">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次</w:t>
            </w:r>
          </w:p>
        </w:tc>
        <w:tc>
          <w:tcPr>
            <w:tcW w:w="656" w:type="dxa"/>
            <w:noWrap w:val="0"/>
            <w:vAlign w:val="center"/>
          </w:tcPr>
          <w:p w14:paraId="7DA2219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18"/>
                <w:szCs w:val="18"/>
                <w:u w:val="none"/>
                <w:lang w:val="en-US" w:eastAsia="zh-CN" w:bidi="ar"/>
              </w:rPr>
              <w:t>12</w:t>
            </w:r>
            <w:r>
              <w:rPr>
                <w:rFonts w:hint="eastAsia" w:ascii="宋体" w:hAnsi="宋体" w:eastAsia="宋体" w:cs="宋体"/>
                <w:i w:val="0"/>
                <w:iCs w:val="0"/>
                <w:color w:val="000000"/>
                <w:kern w:val="0"/>
                <w:sz w:val="18"/>
                <w:szCs w:val="18"/>
                <w:u w:val="none"/>
                <w:lang w:val="en-US" w:eastAsia="zh-CN" w:bidi="ar"/>
              </w:rPr>
              <w:t>00</w:t>
            </w:r>
          </w:p>
        </w:tc>
        <w:tc>
          <w:tcPr>
            <w:tcW w:w="735" w:type="dxa"/>
            <w:shd w:val="clear" w:color="auto" w:fill="auto"/>
            <w:noWrap w:val="0"/>
            <w:vAlign w:val="center"/>
          </w:tcPr>
          <w:p w14:paraId="60E40FC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18"/>
                <w:szCs w:val="18"/>
                <w:u w:val="none"/>
                <w:lang w:val="en-US" w:eastAsia="zh-CN" w:bidi="ar"/>
              </w:rPr>
              <w:t>1080</w:t>
            </w:r>
          </w:p>
        </w:tc>
        <w:tc>
          <w:tcPr>
            <w:tcW w:w="750" w:type="dxa"/>
            <w:shd w:val="clear" w:color="auto" w:fill="auto"/>
            <w:noWrap w:val="0"/>
            <w:vAlign w:val="center"/>
          </w:tcPr>
          <w:p w14:paraId="519AC4A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960</w:t>
            </w:r>
          </w:p>
        </w:tc>
        <w:tc>
          <w:tcPr>
            <w:tcW w:w="789" w:type="dxa"/>
            <w:noWrap w:val="0"/>
            <w:vAlign w:val="center"/>
          </w:tcPr>
          <w:p w14:paraId="26D69A9C">
            <w:pPr>
              <w:keepNext w:val="0"/>
              <w:keepLines w:val="0"/>
              <w:pageBreakBefore w:val="0"/>
              <w:widowControl/>
              <w:kinsoku/>
              <w:wordWrap/>
              <w:overflowPunct/>
              <w:topLinePunct w:val="0"/>
              <w:autoSpaceDE/>
              <w:autoSpaceDN/>
              <w:bidi w:val="0"/>
              <w:adjustRightInd/>
              <w:snapToGrid/>
              <w:spacing w:line="360" w:lineRule="exact"/>
              <w:ind w:left="-63" w:leftChars="-30" w:right="-63" w:rightChars="-30"/>
              <w:jc w:val="center"/>
              <w:rPr>
                <w:rFonts w:hint="eastAsia" w:ascii="宋体" w:hAnsi="宋体" w:eastAsia="宋体" w:cs="宋体"/>
                <w:i w:val="0"/>
                <w:iCs w:val="0"/>
                <w:color w:val="000000"/>
                <w:kern w:val="0"/>
                <w:sz w:val="20"/>
                <w:szCs w:val="20"/>
                <w:u w:val="none"/>
                <w:lang w:val="en-US" w:eastAsia="zh-CN" w:bidi="ar"/>
              </w:rPr>
            </w:pPr>
          </w:p>
        </w:tc>
        <w:tc>
          <w:tcPr>
            <w:tcW w:w="782" w:type="dxa"/>
            <w:noWrap w:val="0"/>
            <w:vAlign w:val="center"/>
          </w:tcPr>
          <w:p w14:paraId="4F8DC9EE">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c>
          <w:tcPr>
            <w:tcW w:w="1714" w:type="dxa"/>
            <w:noWrap w:val="0"/>
            <w:vAlign w:val="center"/>
          </w:tcPr>
          <w:p w14:paraId="7DE72C71">
            <w:pPr>
              <w:keepNext w:val="0"/>
              <w:keepLines w:val="0"/>
              <w:pageBreakBefore w:val="0"/>
              <w:widowControl/>
              <w:suppressLineNumbers w:val="0"/>
              <w:kinsoku/>
              <w:wordWrap/>
              <w:overflowPunct/>
              <w:topLinePunct w:val="0"/>
              <w:autoSpaceDE/>
              <w:autoSpaceDN/>
              <w:bidi w:val="0"/>
              <w:adjustRightInd/>
              <w:snapToGrid/>
              <w:spacing w:line="360" w:lineRule="exact"/>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修订</w:t>
            </w:r>
          </w:p>
        </w:tc>
      </w:tr>
    </w:tbl>
    <w:p w14:paraId="3CBB8579">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仿宋_GB2312"/>
          <w:sz w:val="32"/>
          <w:szCs w:val="32"/>
          <w:lang w:val="en-US" w:eastAsia="zh-CN"/>
        </w:rPr>
      </w:pPr>
    </w:p>
    <w:p w14:paraId="4C5BF7EA">
      <w:pPr>
        <w:rPr>
          <w:rFonts w:hint="eastAsia" w:ascii="宋体" w:hAnsi="宋体" w:eastAsia="宋体" w:cs="宋体"/>
          <w:sz w:val="21"/>
          <w:szCs w:val="21"/>
          <w:lang w:val="en-US" w:eastAsia="zh-CN"/>
        </w:rPr>
      </w:pPr>
    </w:p>
    <w:sectPr>
      <w:pgSz w:w="16838" w:h="11906" w:orient="landscape"/>
      <w:pgMar w:top="850" w:right="850" w:bottom="850" w:left="850" w:header="851" w:footer="567" w:gutter="0"/>
      <w:pgNumType w:fmt="decimal"/>
      <w:cols w:space="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Nimbus Roman">
    <w:altName w:val="Segoe Print"/>
    <w:panose1 w:val="00000500000000000000"/>
    <w:charset w:val="00"/>
    <w:family w:val="auto"/>
    <w:pitch w:val="default"/>
    <w:sig w:usb0="00000000" w:usb1="00000000" w:usb2="00000000" w:usb3="00000000" w:csb0="6000009F" w:csb1="00000000"/>
  </w:font>
  <w:font w:name="Segoe Print">
    <w:panose1 w:val="02000600000000000000"/>
    <w:charset w:val="00"/>
    <w:family w:val="auto"/>
    <w:pitch w:val="default"/>
    <w:sig w:usb0="0000028F" w:usb1="00000000" w:usb2="00000000" w:usb3="00000000" w:csb0="2000009F" w:csb1="47010000"/>
  </w:font>
  <w:font w:name="国标黑体">
    <w:altName w:val="黑体"/>
    <w:panose1 w:val="02000500000000000000"/>
    <w:charset w:val="00"/>
    <w:family w:val="auto"/>
    <w:pitch w:val="default"/>
    <w:sig w:usb0="00000000" w:usb1="00000000" w:usb2="00000000" w:usb3="00000000" w:csb0="00060007"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F302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B4D1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3BB4D1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D9CE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B76FA4">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B76FA4">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0OTU2ZDEyMzVhOGFiMDE4ZDgyZjBjZDgyYTg2NzEifQ=="/>
  </w:docVars>
  <w:rsids>
    <w:rsidRoot w:val="9EF5F64E"/>
    <w:rsid w:val="00894C07"/>
    <w:rsid w:val="01233A9E"/>
    <w:rsid w:val="020207BC"/>
    <w:rsid w:val="0270061D"/>
    <w:rsid w:val="031A1B63"/>
    <w:rsid w:val="03646A01"/>
    <w:rsid w:val="04351B1E"/>
    <w:rsid w:val="04EA4768"/>
    <w:rsid w:val="05483854"/>
    <w:rsid w:val="0878647D"/>
    <w:rsid w:val="0A41450D"/>
    <w:rsid w:val="10CF113C"/>
    <w:rsid w:val="111217AD"/>
    <w:rsid w:val="11603752"/>
    <w:rsid w:val="14ED3F37"/>
    <w:rsid w:val="15F4016B"/>
    <w:rsid w:val="16646D11"/>
    <w:rsid w:val="16E55626"/>
    <w:rsid w:val="17F6561C"/>
    <w:rsid w:val="19522D62"/>
    <w:rsid w:val="195A0F78"/>
    <w:rsid w:val="198A5FC2"/>
    <w:rsid w:val="19A846E9"/>
    <w:rsid w:val="19CA4748"/>
    <w:rsid w:val="1B01662F"/>
    <w:rsid w:val="1B4F1874"/>
    <w:rsid w:val="1B9300DA"/>
    <w:rsid w:val="1BBB6955"/>
    <w:rsid w:val="1BCF5FD9"/>
    <w:rsid w:val="1D1A76AB"/>
    <w:rsid w:val="1D3101DE"/>
    <w:rsid w:val="1EAA675A"/>
    <w:rsid w:val="1FB84CBE"/>
    <w:rsid w:val="1FBF33DF"/>
    <w:rsid w:val="21FF50C2"/>
    <w:rsid w:val="24356C47"/>
    <w:rsid w:val="24C7759B"/>
    <w:rsid w:val="25616DB7"/>
    <w:rsid w:val="25D21F96"/>
    <w:rsid w:val="25E27183"/>
    <w:rsid w:val="25FCF850"/>
    <w:rsid w:val="27802801"/>
    <w:rsid w:val="284E295F"/>
    <w:rsid w:val="288F0F2F"/>
    <w:rsid w:val="2A1B06A2"/>
    <w:rsid w:val="2B61203D"/>
    <w:rsid w:val="2B852ADC"/>
    <w:rsid w:val="2C881239"/>
    <w:rsid w:val="2E2816E2"/>
    <w:rsid w:val="2E815C96"/>
    <w:rsid w:val="2F9F55D5"/>
    <w:rsid w:val="3422536C"/>
    <w:rsid w:val="343E7435"/>
    <w:rsid w:val="34A33280"/>
    <w:rsid w:val="34D76CC6"/>
    <w:rsid w:val="34E60DCC"/>
    <w:rsid w:val="3581357E"/>
    <w:rsid w:val="360435F5"/>
    <w:rsid w:val="37BE0D10"/>
    <w:rsid w:val="39692889"/>
    <w:rsid w:val="3AA310E1"/>
    <w:rsid w:val="3ABC3403"/>
    <w:rsid w:val="3B5E5FA6"/>
    <w:rsid w:val="3D6E33AC"/>
    <w:rsid w:val="3F3A1FEB"/>
    <w:rsid w:val="423263E4"/>
    <w:rsid w:val="43C83616"/>
    <w:rsid w:val="453F0908"/>
    <w:rsid w:val="4605689B"/>
    <w:rsid w:val="461537D4"/>
    <w:rsid w:val="48A43091"/>
    <w:rsid w:val="49003A8F"/>
    <w:rsid w:val="4A45370A"/>
    <w:rsid w:val="4D8C5595"/>
    <w:rsid w:val="4DA304DC"/>
    <w:rsid w:val="4DB77121"/>
    <w:rsid w:val="4DF74D1B"/>
    <w:rsid w:val="4E125FF9"/>
    <w:rsid w:val="4EB26079"/>
    <w:rsid w:val="4FB95FB9"/>
    <w:rsid w:val="4FF76AA2"/>
    <w:rsid w:val="50A027A6"/>
    <w:rsid w:val="520914C1"/>
    <w:rsid w:val="53165C44"/>
    <w:rsid w:val="532067DA"/>
    <w:rsid w:val="54E4495E"/>
    <w:rsid w:val="559E5E08"/>
    <w:rsid w:val="55B06D45"/>
    <w:rsid w:val="57032983"/>
    <w:rsid w:val="58530F63"/>
    <w:rsid w:val="58FDF05D"/>
    <w:rsid w:val="59724DDE"/>
    <w:rsid w:val="5CC656B0"/>
    <w:rsid w:val="5D162267"/>
    <w:rsid w:val="5D2417DF"/>
    <w:rsid w:val="5D63379F"/>
    <w:rsid w:val="5DFD3D95"/>
    <w:rsid w:val="5E7E1953"/>
    <w:rsid w:val="5EA22A81"/>
    <w:rsid w:val="5ECE3876"/>
    <w:rsid w:val="5F5465F3"/>
    <w:rsid w:val="5FF36E0E"/>
    <w:rsid w:val="6036535F"/>
    <w:rsid w:val="618802E4"/>
    <w:rsid w:val="623202FF"/>
    <w:rsid w:val="62D022B3"/>
    <w:rsid w:val="630154C6"/>
    <w:rsid w:val="634E5698"/>
    <w:rsid w:val="63616455"/>
    <w:rsid w:val="65111579"/>
    <w:rsid w:val="68760642"/>
    <w:rsid w:val="69AF08DE"/>
    <w:rsid w:val="6B6446DD"/>
    <w:rsid w:val="6BBF34A4"/>
    <w:rsid w:val="6C6C5C95"/>
    <w:rsid w:val="6CC85DA9"/>
    <w:rsid w:val="6D0D4104"/>
    <w:rsid w:val="6DB3247C"/>
    <w:rsid w:val="6E93120C"/>
    <w:rsid w:val="6FB60594"/>
    <w:rsid w:val="70754CB3"/>
    <w:rsid w:val="70F006B9"/>
    <w:rsid w:val="7166431B"/>
    <w:rsid w:val="71C35206"/>
    <w:rsid w:val="720C2299"/>
    <w:rsid w:val="73167859"/>
    <w:rsid w:val="73884A28"/>
    <w:rsid w:val="74F771FB"/>
    <w:rsid w:val="75D2067C"/>
    <w:rsid w:val="7645755B"/>
    <w:rsid w:val="77B358A8"/>
    <w:rsid w:val="77C47DE3"/>
    <w:rsid w:val="78110824"/>
    <w:rsid w:val="78BF49FB"/>
    <w:rsid w:val="795F5CD5"/>
    <w:rsid w:val="79CC0981"/>
    <w:rsid w:val="7A971678"/>
    <w:rsid w:val="7B610CA2"/>
    <w:rsid w:val="7B755324"/>
    <w:rsid w:val="7BDBC7B4"/>
    <w:rsid w:val="7C977546"/>
    <w:rsid w:val="7C9A1B01"/>
    <w:rsid w:val="7E99F27A"/>
    <w:rsid w:val="7EB4618D"/>
    <w:rsid w:val="7ED92671"/>
    <w:rsid w:val="7EF969DE"/>
    <w:rsid w:val="7FF64583"/>
    <w:rsid w:val="7FF91F3C"/>
    <w:rsid w:val="7FFD1A27"/>
    <w:rsid w:val="8FEFCE5B"/>
    <w:rsid w:val="977DCAEF"/>
    <w:rsid w:val="9ECBBDFF"/>
    <w:rsid w:val="9EF5F64E"/>
    <w:rsid w:val="B5BEAF63"/>
    <w:rsid w:val="BDF5B848"/>
    <w:rsid w:val="D7EF0DE5"/>
    <w:rsid w:val="DF6EA5D8"/>
    <w:rsid w:val="E9D32B13"/>
    <w:rsid w:val="ED63541D"/>
    <w:rsid w:val="EFFA37C2"/>
    <w:rsid w:val="F76FD3D4"/>
    <w:rsid w:val="F7B7874B"/>
    <w:rsid w:val="FE940957"/>
    <w:rsid w:val="FEB74A30"/>
    <w:rsid w:val="FEDFDC0D"/>
    <w:rsid w:val="FF9FB446"/>
    <w:rsid w:val="FFAFE299"/>
    <w:rsid w:val="FFEF58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Lines="0" w:beforeAutospacing="0" w:afterLines="0" w:afterAutospacing="0" w:line="560" w:lineRule="exact"/>
      <w:outlineLvl w:val="1"/>
    </w:pPr>
    <w:rPr>
      <w:rFonts w:ascii="黑体" w:hAnsi="黑体" w:eastAsia="黑体"/>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rPr>
      <w:szCs w:val="22"/>
    </w:rPr>
  </w:style>
  <w:style w:type="paragraph" w:styleId="4">
    <w:name w:val="Plain Text"/>
    <w:basedOn w:val="1"/>
    <w:qFormat/>
    <w:uiPriority w:val="99"/>
    <w:rPr>
      <w:rFonts w:ascii="宋体" w:hAnsi="Courier New" w:cs="Courier New"/>
      <w:sz w:val="32"/>
      <w:szCs w:val="21"/>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51"/>
    <w:basedOn w:val="10"/>
    <w:qFormat/>
    <w:uiPriority w:val="0"/>
    <w:rPr>
      <w:rFonts w:hint="eastAsia" w:ascii="宋体" w:hAnsi="宋体" w:eastAsia="宋体" w:cs="宋体"/>
      <w:color w:val="000000"/>
      <w:sz w:val="24"/>
      <w:szCs w:val="24"/>
      <w:u w:val="none"/>
    </w:rPr>
  </w:style>
  <w:style w:type="character" w:customStyle="1" w:styleId="12">
    <w:name w:val="font41"/>
    <w:basedOn w:val="10"/>
    <w:qFormat/>
    <w:uiPriority w:val="0"/>
    <w:rPr>
      <w:rFonts w:hint="default" w:ascii="Times New Roman" w:hAnsi="Times New Roman" w:cs="Times New Roman"/>
      <w:color w:val="000000"/>
      <w:sz w:val="24"/>
      <w:szCs w:val="24"/>
      <w:u w:val="none"/>
    </w:rPr>
  </w:style>
  <w:style w:type="character" w:customStyle="1" w:styleId="13">
    <w:name w:val="font11"/>
    <w:basedOn w:val="10"/>
    <w:qFormat/>
    <w:uiPriority w:val="0"/>
    <w:rPr>
      <w:rFonts w:hint="eastAsia" w:ascii="宋体" w:hAnsi="宋体" w:eastAsia="宋体" w:cs="宋体"/>
      <w:b/>
      <w:bCs/>
      <w:color w:val="000000"/>
      <w:sz w:val="20"/>
      <w:szCs w:val="20"/>
      <w:u w:val="none"/>
    </w:rPr>
  </w:style>
  <w:style w:type="character" w:customStyle="1" w:styleId="14">
    <w:name w:val="font01"/>
    <w:basedOn w:val="10"/>
    <w:qFormat/>
    <w:uiPriority w:val="0"/>
    <w:rPr>
      <w:rFonts w:hint="eastAsia" w:ascii="宋体" w:hAnsi="宋体" w:eastAsia="宋体" w:cs="宋体"/>
      <w:b/>
      <w:bCs/>
      <w:color w:val="FF0000"/>
      <w:sz w:val="20"/>
      <w:szCs w:val="20"/>
      <w:u w:val="none"/>
    </w:rPr>
  </w:style>
  <w:style w:type="character" w:customStyle="1" w:styleId="15">
    <w:name w:val="font2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6409</Words>
  <Characters>7345</Characters>
  <Lines>0</Lines>
  <Paragraphs>0</Paragraphs>
  <TotalTime>13</TotalTime>
  <ScaleCrop>false</ScaleCrop>
  <LinksUpToDate>false</LinksUpToDate>
  <CharactersWithSpaces>7387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2024-10-24T07:23:00Z</dcterms:created>
  <dc:creator>jiwenhe</dc:creator>
  <cp:lastModifiedBy>WPS_355617823</cp:lastModifiedBy>
  <cp:lastPrinted>2025-07-01T02:58:00Z</cp:lastPrinted>
  <dcterms:modified xsi:type="dcterms:W3CDTF">2025-07-01T08:03:06Z</dcterms:modified>
  <dc:title>省医保局关于开展医疗服务价格规范治理（第一批）的通知</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F045A2E3F997EFA8222DC1674138C274</vt:lpwstr>
  </property>
  <property fmtid="{D5CDD505-2E9C-101B-9397-08002B2CF9AE}" pid="4" name="KSOTemplateDocerSaveRecord">
    <vt:lpwstr>eyJoZGlkIjoiYmRhNmNlZmUxNzZiYjc5ZGY3Nzk5ODk5NTQxZGJmZGMiLCJ1c2VySWQiOiIzNTU2MTc4MjMifQ==</vt:lpwstr>
  </property>
</Properties>
</file>