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附件</w:t>
      </w:r>
      <w:r>
        <w:rPr>
          <w:rFonts w:hint="eastAsia" w:ascii="黑体" w:hAnsi="黑体" w:eastAsia="黑体" w:cs="黑体"/>
          <w:b w:val="0"/>
          <w:bCs w:val="0"/>
          <w:color w:val="auto"/>
          <w:sz w:val="32"/>
          <w:szCs w:val="32"/>
          <w:lang w:val="en-US" w:eastAsia="zh-CN"/>
        </w:rPr>
        <w:t>2</w:t>
      </w:r>
      <w:bookmarkStart w:id="353" w:name="_GoBack"/>
      <w:bookmarkEnd w:id="353"/>
    </w:p>
    <w:p>
      <w:pPr>
        <w:spacing w:line="560" w:lineRule="exact"/>
        <w:ind w:firstLine="883" w:firstLineChars="200"/>
        <w:jc w:val="center"/>
        <w:rPr>
          <w:rFonts w:ascii="宋体" w:cs="宋体"/>
          <w:b/>
          <w:bCs/>
          <w:color w:val="auto"/>
          <w:sz w:val="44"/>
          <w:szCs w:val="44"/>
        </w:rPr>
      </w:pPr>
    </w:p>
    <w:p>
      <w:pPr>
        <w:spacing w:line="560" w:lineRule="exact"/>
        <w:ind w:firstLine="883" w:firstLineChars="200"/>
        <w:jc w:val="center"/>
        <w:rPr>
          <w:rFonts w:ascii="宋体" w:cs="宋体"/>
          <w:b/>
          <w:bCs/>
          <w:color w:val="auto"/>
          <w:sz w:val="44"/>
          <w:szCs w:val="44"/>
        </w:rPr>
      </w:pPr>
    </w:p>
    <w:p>
      <w:pPr>
        <w:spacing w:line="560" w:lineRule="exact"/>
        <w:jc w:val="center"/>
        <w:rPr>
          <w:rFonts w:hint="eastAsia" w:ascii="黑体" w:hAnsi="黑体" w:eastAsia="黑体" w:cs="黑体"/>
          <w:b/>
          <w:bCs/>
          <w:color w:val="auto"/>
          <w:sz w:val="48"/>
          <w:szCs w:val="48"/>
        </w:rPr>
      </w:pPr>
      <w:r>
        <w:rPr>
          <w:rFonts w:hint="eastAsia" w:ascii="黑体" w:hAnsi="黑体" w:eastAsia="黑体" w:cs="黑体"/>
          <w:b/>
          <w:bCs/>
          <w:color w:val="auto"/>
          <w:sz w:val="48"/>
          <w:szCs w:val="48"/>
        </w:rPr>
        <w:t>赣州市十四五食品安全专项规划</w:t>
      </w:r>
    </w:p>
    <w:p>
      <w:pPr>
        <w:spacing w:line="560" w:lineRule="exact"/>
        <w:ind w:left="0" w:leftChars="0" w:firstLine="0" w:firstLineChars="0"/>
        <w:jc w:val="center"/>
        <w:rPr>
          <w:rFonts w:hint="eastAsia" w:ascii="楷体" w:hAnsi="楷体" w:eastAsia="楷体" w:cs="楷体"/>
          <w:color w:val="auto"/>
          <w:sz w:val="32"/>
          <w:szCs w:val="32"/>
        </w:rPr>
      </w:pPr>
      <w:r>
        <w:rPr>
          <w:rFonts w:hint="eastAsia" w:ascii="楷体" w:hAnsi="楷体" w:eastAsia="楷体" w:cs="楷体"/>
          <w:color w:val="auto"/>
          <w:sz w:val="32"/>
          <w:szCs w:val="32"/>
        </w:rPr>
        <w:t>（征求意见稿）</w:t>
      </w: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color w:val="auto"/>
        </w:rPr>
      </w:pPr>
    </w:p>
    <w:p>
      <w:pPr>
        <w:pStyle w:val="15"/>
        <w:spacing w:line="560" w:lineRule="exact"/>
        <w:ind w:left="560" w:firstLine="560"/>
        <w:rPr>
          <w:rFonts w:hint="eastAsia" w:ascii="楷体" w:hAnsi="楷体" w:eastAsia="楷体" w:cs="楷体"/>
          <w:color w:val="auto"/>
        </w:rPr>
      </w:pPr>
    </w:p>
    <w:p>
      <w:pPr>
        <w:pStyle w:val="15"/>
        <w:spacing w:line="560" w:lineRule="exact"/>
        <w:ind w:left="0" w:leftChars="0" w:firstLine="0" w:firstLineChars="0"/>
        <w:jc w:val="center"/>
        <w:rPr>
          <w:rFonts w:hint="eastAsia" w:ascii="楷体" w:hAnsi="楷体" w:eastAsia="楷体" w:cs="楷体"/>
          <w:b/>
          <w:bCs/>
          <w:color w:val="auto"/>
          <w:sz w:val="30"/>
          <w:szCs w:val="30"/>
        </w:rPr>
      </w:pPr>
      <w:r>
        <w:rPr>
          <w:rFonts w:hint="eastAsia" w:ascii="楷体" w:hAnsi="楷体" w:eastAsia="楷体" w:cs="楷体"/>
          <w:b/>
          <w:bCs/>
          <w:color w:val="auto"/>
          <w:sz w:val="30"/>
          <w:szCs w:val="30"/>
          <w:lang w:val="en-US" w:eastAsia="zh-CN"/>
        </w:rPr>
        <w:t>编制单位：</w:t>
      </w:r>
      <w:r>
        <w:rPr>
          <w:rFonts w:hint="eastAsia" w:ascii="楷体" w:hAnsi="楷体" w:eastAsia="楷体" w:cs="楷体"/>
          <w:b/>
          <w:bCs/>
          <w:color w:val="auto"/>
          <w:sz w:val="30"/>
          <w:szCs w:val="30"/>
        </w:rPr>
        <w:t>赣州市高质量发展研究院</w:t>
      </w:r>
    </w:p>
    <w:p>
      <w:pPr>
        <w:pStyle w:val="15"/>
        <w:spacing w:line="560" w:lineRule="exact"/>
        <w:ind w:left="0" w:leftChars="0" w:firstLine="0" w:firstLineChars="0"/>
        <w:jc w:val="center"/>
        <w:rPr>
          <w:rFonts w:hint="default" w:ascii="楷体" w:hAnsi="楷体" w:eastAsia="楷体" w:cs="楷体"/>
          <w:b/>
          <w:bCs/>
          <w:color w:val="auto"/>
          <w:sz w:val="30"/>
          <w:szCs w:val="30"/>
        </w:rPr>
      </w:pPr>
      <w:r>
        <w:rPr>
          <w:rFonts w:hint="eastAsia" w:ascii="楷体" w:hAnsi="楷体" w:eastAsia="楷体" w:cs="楷体"/>
          <w:b/>
          <w:bCs/>
          <w:color w:val="auto"/>
          <w:sz w:val="30"/>
          <w:szCs w:val="30"/>
          <w:lang w:val="en-US" w:eastAsia="zh-CN"/>
        </w:rPr>
        <w:t>委托单位：</w:t>
      </w:r>
      <w:r>
        <w:rPr>
          <w:rFonts w:hint="eastAsia" w:ascii="楷体" w:hAnsi="楷体" w:eastAsia="楷体" w:cs="楷体"/>
          <w:b/>
          <w:bCs/>
          <w:color w:val="auto"/>
          <w:sz w:val="30"/>
          <w:szCs w:val="30"/>
        </w:rPr>
        <w:t>赣州市市场监督管理局</w:t>
      </w:r>
    </w:p>
    <w:p>
      <w:pPr>
        <w:pStyle w:val="15"/>
        <w:spacing w:line="560" w:lineRule="exact"/>
        <w:ind w:left="560" w:firstLine="0" w:firstLineChars="0"/>
        <w:jc w:val="center"/>
        <w:rPr>
          <w:rFonts w:hint="eastAsia" w:ascii="楷体" w:hAnsi="楷体" w:eastAsia="楷体" w:cs="楷体"/>
          <w:b/>
          <w:bCs/>
          <w:color w:val="auto"/>
          <w:sz w:val="30"/>
          <w:szCs w:val="30"/>
          <w:lang w:eastAsia="zh-CN"/>
        </w:rPr>
      </w:pPr>
      <w:r>
        <w:rPr>
          <w:rFonts w:hint="eastAsia" w:ascii="楷体" w:hAnsi="楷体" w:eastAsia="楷体" w:cs="楷体"/>
          <w:b/>
          <w:bCs/>
          <w:color w:val="auto"/>
          <w:sz w:val="30"/>
          <w:szCs w:val="30"/>
          <w:lang w:eastAsia="zh-CN"/>
        </w:rPr>
        <w:t>二〇二一年</w:t>
      </w:r>
      <w:r>
        <w:rPr>
          <w:rFonts w:hint="eastAsia" w:ascii="楷体" w:hAnsi="楷体" w:eastAsia="楷体" w:cs="楷体"/>
          <w:b/>
          <w:bCs/>
          <w:color w:val="auto"/>
          <w:sz w:val="30"/>
          <w:szCs w:val="30"/>
          <w:lang w:val="en-US" w:eastAsia="zh-CN"/>
        </w:rPr>
        <w:t>六</w:t>
      </w:r>
      <w:r>
        <w:rPr>
          <w:rFonts w:hint="eastAsia" w:ascii="楷体" w:hAnsi="楷体" w:eastAsia="楷体" w:cs="楷体"/>
          <w:b/>
          <w:bCs/>
          <w:color w:val="auto"/>
          <w:sz w:val="30"/>
          <w:szCs w:val="30"/>
          <w:lang w:eastAsia="zh-CN"/>
        </w:rPr>
        <w:t>月</w:t>
      </w:r>
    </w:p>
    <w:p>
      <w:pPr>
        <w:spacing w:before="156" w:beforeLines="50" w:after="156" w:afterLines="50" w:line="560" w:lineRule="exact"/>
        <w:jc w:val="center"/>
        <w:rPr>
          <w:rFonts w:ascii="黑体" w:hAnsi="仿宋" w:eastAsia="黑体" w:cs="仿宋"/>
          <w:color w:val="auto"/>
          <w:sz w:val="32"/>
          <w:szCs w:val="32"/>
        </w:rPr>
      </w:pPr>
      <w:r>
        <w:rPr>
          <w:rFonts w:hint="eastAsia" w:ascii="黑体" w:hAnsi="仿宋" w:eastAsia="黑体" w:cs="仿宋"/>
          <w:color w:val="auto"/>
          <w:sz w:val="32"/>
          <w:szCs w:val="32"/>
        </w:rPr>
        <w:t>目</w:t>
      </w:r>
      <w:r>
        <w:rPr>
          <w:rFonts w:ascii="黑体" w:hAnsi="仿宋" w:eastAsia="黑体" w:cs="仿宋"/>
          <w:color w:val="auto"/>
          <w:sz w:val="32"/>
          <w:szCs w:val="32"/>
        </w:rPr>
        <w:t xml:space="preserve">  </w:t>
      </w:r>
      <w:r>
        <w:rPr>
          <w:rFonts w:hint="eastAsia" w:ascii="黑体" w:hAnsi="仿宋" w:eastAsia="黑体" w:cs="仿宋"/>
          <w:color w:val="auto"/>
          <w:sz w:val="32"/>
          <w:szCs w:val="32"/>
        </w:rPr>
        <w:t>录</w:t>
      </w:r>
    </w:p>
    <w:p>
      <w:pPr>
        <w:pStyle w:val="11"/>
        <w:tabs>
          <w:tab w:val="right" w:leader="dot" w:pos="8844"/>
        </w:tabs>
      </w:pPr>
      <w:r>
        <w:rPr>
          <w:color w:val="auto"/>
        </w:rPr>
        <w:fldChar w:fldCharType="begin"/>
      </w:r>
      <w:r>
        <w:rPr>
          <w:color w:val="auto"/>
        </w:rPr>
        <w:instrText xml:space="preserve"> TOC \o "1-2" \h \z \u </w:instrText>
      </w:r>
      <w:r>
        <w:rPr>
          <w:color w:val="auto"/>
        </w:rPr>
        <w:fldChar w:fldCharType="separate"/>
      </w:r>
      <w:r>
        <w:rPr>
          <w:color w:val="auto"/>
        </w:rPr>
        <w:fldChar w:fldCharType="begin"/>
      </w:r>
      <w:r>
        <w:instrText xml:space="preserve"> HYPERLINK \l _Toc5400 </w:instrText>
      </w:r>
      <w:r>
        <w:fldChar w:fldCharType="separate"/>
      </w:r>
      <w:r>
        <w:rPr>
          <w:rFonts w:hint="eastAsia" w:ascii="黑体" w:hAnsi="黑体" w:eastAsia="黑体" w:cs="黑体"/>
          <w:szCs w:val="32"/>
        </w:rPr>
        <w:t>一、发展基础</w:t>
      </w:r>
      <w:r>
        <w:tab/>
      </w:r>
      <w:r>
        <w:fldChar w:fldCharType="begin"/>
      </w:r>
      <w:r>
        <w:instrText xml:space="preserve"> PAGEREF _Toc5400 \h </w:instrText>
      </w:r>
      <w:r>
        <w:fldChar w:fldCharType="separate"/>
      </w:r>
      <w:r>
        <w:t>- 3 -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_Toc16880 </w:instrText>
      </w:r>
      <w:r>
        <w:fldChar w:fldCharType="separate"/>
      </w:r>
      <w:r>
        <w:rPr>
          <w:rFonts w:hint="eastAsia" w:ascii="楷体" w:hAnsi="楷体" w:eastAsia="楷体" w:cs="楷体"/>
          <w:bCs/>
          <w:szCs w:val="32"/>
        </w:rPr>
        <w:t>（一）落实党政同责</w:t>
      </w:r>
      <w:r>
        <w:rPr>
          <w:rFonts w:hint="eastAsia" w:ascii="楷体" w:hAnsi="楷体" w:eastAsia="楷体" w:cs="楷体"/>
          <w:bCs/>
          <w:szCs w:val="32"/>
          <w:lang w:val="en-US" w:eastAsia="zh-CN"/>
        </w:rPr>
        <w:t xml:space="preserve"> </w:t>
      </w:r>
      <w:r>
        <w:rPr>
          <w:rFonts w:hint="eastAsia" w:ascii="楷体" w:hAnsi="楷体" w:eastAsia="楷体" w:cs="楷体"/>
          <w:bCs/>
          <w:szCs w:val="32"/>
        </w:rPr>
        <w:t>明确了食品安全责任</w:t>
      </w:r>
      <w:r>
        <w:tab/>
      </w:r>
      <w:r>
        <w:fldChar w:fldCharType="begin"/>
      </w:r>
      <w:r>
        <w:instrText xml:space="preserve"> PAGEREF _Toc16880 \h </w:instrText>
      </w:r>
      <w:r>
        <w:fldChar w:fldCharType="separate"/>
      </w:r>
      <w:r>
        <w:t>- 3 -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_Toc10284 </w:instrText>
      </w:r>
      <w:r>
        <w:fldChar w:fldCharType="separate"/>
      </w:r>
      <w:r>
        <w:rPr>
          <w:rFonts w:hint="eastAsia" w:ascii="楷体" w:hAnsi="楷体" w:eastAsia="楷体" w:cs="楷体"/>
          <w:bCs/>
          <w:szCs w:val="32"/>
        </w:rPr>
        <w:t>（二）理顺体制机制</w:t>
      </w:r>
      <w:r>
        <w:rPr>
          <w:rFonts w:hint="eastAsia" w:ascii="楷体" w:hAnsi="楷体" w:eastAsia="楷体" w:cs="楷体"/>
          <w:bCs/>
          <w:szCs w:val="32"/>
          <w:lang w:val="en-US" w:eastAsia="zh-CN"/>
        </w:rPr>
        <w:t xml:space="preserve"> </w:t>
      </w:r>
      <w:r>
        <w:rPr>
          <w:rFonts w:hint="eastAsia" w:ascii="楷体" w:hAnsi="楷体" w:eastAsia="楷体" w:cs="楷体"/>
          <w:bCs/>
          <w:szCs w:val="32"/>
        </w:rPr>
        <w:t>建立了全过程监管体系</w:t>
      </w:r>
      <w:r>
        <w:tab/>
      </w:r>
      <w:r>
        <w:fldChar w:fldCharType="begin"/>
      </w:r>
      <w:r>
        <w:instrText xml:space="preserve"> PAGEREF _Toc10284 \h </w:instrText>
      </w:r>
      <w:r>
        <w:fldChar w:fldCharType="separate"/>
      </w:r>
      <w:r>
        <w:t>- 4 -</w:t>
      </w:r>
      <w:r>
        <w:fldChar w:fldCharType="end"/>
      </w:r>
      <w:r>
        <w:rPr>
          <w:color w:val="auto"/>
        </w:rPr>
        <w:fldChar w:fldCharType="end"/>
      </w:r>
    </w:p>
    <w:p>
      <w:pPr>
        <w:pStyle w:val="12"/>
        <w:tabs>
          <w:tab w:val="right" w:leader="dot" w:pos="8844"/>
        </w:tabs>
      </w:pPr>
      <w:r>
        <w:rPr>
          <w:color w:val="auto"/>
        </w:rPr>
        <w:fldChar w:fldCharType="begin"/>
      </w:r>
      <w:r>
        <w:instrText xml:space="preserve"> HYPERLINK \l _Toc20188 </w:instrText>
      </w:r>
      <w:r>
        <w:fldChar w:fldCharType="separate"/>
      </w:r>
      <w:r>
        <w:rPr>
          <w:rFonts w:hint="eastAsia" w:ascii="楷体" w:hAnsi="楷体" w:eastAsia="楷体" w:cs="楷体"/>
          <w:bCs/>
          <w:szCs w:val="32"/>
        </w:rPr>
        <w:t>（三）秉持质效并重</w:t>
      </w:r>
      <w:r>
        <w:rPr>
          <w:rFonts w:ascii="楷体" w:hAnsi="楷体" w:eastAsia="楷体" w:cs="楷体"/>
          <w:bCs/>
          <w:szCs w:val="32"/>
        </w:rPr>
        <w:t xml:space="preserve"> </w:t>
      </w:r>
      <w:r>
        <w:rPr>
          <w:rFonts w:hint="eastAsia" w:ascii="楷体" w:hAnsi="楷体" w:eastAsia="楷体" w:cs="楷体"/>
          <w:bCs/>
          <w:szCs w:val="32"/>
        </w:rPr>
        <w:t>促进了食品产业快速发展</w:t>
      </w:r>
      <w:r>
        <w:tab/>
      </w:r>
      <w:r>
        <w:fldChar w:fldCharType="begin"/>
      </w:r>
      <w:r>
        <w:instrText xml:space="preserve"> PAGEREF _Toc20188 \h </w:instrText>
      </w:r>
      <w:r>
        <w:fldChar w:fldCharType="separate"/>
      </w:r>
      <w:r>
        <w:t>- 4 -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_Toc12177 </w:instrText>
      </w:r>
      <w:r>
        <w:fldChar w:fldCharType="separate"/>
      </w:r>
      <w:r>
        <w:rPr>
          <w:rFonts w:hint="eastAsia" w:ascii="楷体" w:hAnsi="楷体" w:eastAsia="楷体" w:cs="楷体"/>
          <w:bCs/>
          <w:szCs w:val="32"/>
        </w:rPr>
        <w:t>（四）严格标准执行</w:t>
      </w:r>
      <w:r>
        <w:rPr>
          <w:rFonts w:ascii="楷体" w:hAnsi="楷体" w:eastAsia="楷体" w:cs="楷体"/>
          <w:bCs/>
          <w:szCs w:val="32"/>
        </w:rPr>
        <w:t xml:space="preserve"> </w:t>
      </w:r>
      <w:r>
        <w:rPr>
          <w:rFonts w:hint="eastAsia" w:ascii="楷体" w:hAnsi="楷体" w:eastAsia="楷体" w:cs="楷体"/>
          <w:bCs/>
          <w:szCs w:val="32"/>
        </w:rPr>
        <w:t>维护了食品安全标准强制性</w:t>
      </w:r>
      <w:r>
        <w:tab/>
      </w:r>
      <w:r>
        <w:fldChar w:fldCharType="begin"/>
      </w:r>
      <w:r>
        <w:instrText xml:space="preserve"> PAGEREF _Toc12177 \h </w:instrText>
      </w:r>
      <w:r>
        <w:fldChar w:fldCharType="separate"/>
      </w:r>
      <w:r>
        <w:t>- 5 -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_Toc11348 </w:instrText>
      </w:r>
      <w:r>
        <w:fldChar w:fldCharType="separate"/>
      </w:r>
      <w:r>
        <w:rPr>
          <w:rFonts w:hint="eastAsia" w:ascii="楷体" w:hAnsi="楷体" w:eastAsia="楷体" w:cs="楷体"/>
          <w:bCs/>
          <w:szCs w:val="32"/>
        </w:rPr>
        <w:t>（五）提高检测能力</w:t>
      </w:r>
      <w:r>
        <w:rPr>
          <w:rFonts w:ascii="楷体" w:hAnsi="楷体" w:eastAsia="楷体" w:cs="楷体"/>
          <w:bCs/>
          <w:szCs w:val="32"/>
        </w:rPr>
        <w:t xml:space="preserve"> </w:t>
      </w:r>
      <w:r>
        <w:rPr>
          <w:rFonts w:hint="eastAsia" w:ascii="楷体" w:hAnsi="楷体" w:eastAsia="楷体" w:cs="楷体"/>
          <w:bCs/>
          <w:szCs w:val="32"/>
        </w:rPr>
        <w:t>强化了食品安全技术支撑</w:t>
      </w:r>
      <w:r>
        <w:tab/>
      </w:r>
      <w:r>
        <w:fldChar w:fldCharType="begin"/>
      </w:r>
      <w:r>
        <w:instrText xml:space="preserve"> PAGEREF _Toc11348 \h </w:instrText>
      </w:r>
      <w:r>
        <w:fldChar w:fldCharType="separate"/>
      </w:r>
      <w:r>
        <w:t>- 5 -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_Toc16860 </w:instrText>
      </w:r>
      <w:r>
        <w:fldChar w:fldCharType="separate"/>
      </w:r>
      <w:r>
        <w:rPr>
          <w:rFonts w:hint="eastAsia" w:ascii="楷体" w:hAnsi="楷体" w:eastAsia="楷体" w:cs="楷体"/>
          <w:bCs/>
          <w:szCs w:val="32"/>
        </w:rPr>
        <w:t>（六）强化示范引领</w:t>
      </w:r>
      <w:r>
        <w:rPr>
          <w:rFonts w:hint="eastAsia" w:ascii="楷体" w:hAnsi="楷体" w:eastAsia="楷体" w:cs="楷体"/>
          <w:bCs/>
          <w:szCs w:val="32"/>
          <w:lang w:val="en-US" w:eastAsia="zh-CN"/>
        </w:rPr>
        <w:t xml:space="preserve"> </w:t>
      </w:r>
      <w:r>
        <w:rPr>
          <w:rFonts w:hint="eastAsia" w:ascii="楷体" w:hAnsi="楷体" w:eastAsia="楷体" w:cs="楷体"/>
          <w:bCs/>
          <w:szCs w:val="32"/>
        </w:rPr>
        <w:t>推动了食品安全再上新台阶</w:t>
      </w:r>
      <w:r>
        <w:tab/>
      </w:r>
      <w:r>
        <w:fldChar w:fldCharType="begin"/>
      </w:r>
      <w:r>
        <w:instrText xml:space="preserve"> PAGEREF _Toc16860 \h </w:instrText>
      </w:r>
      <w:r>
        <w:fldChar w:fldCharType="separate"/>
      </w:r>
      <w:r>
        <w:t>- 6 -</w:t>
      </w:r>
      <w:r>
        <w:fldChar w:fldCharType="end"/>
      </w:r>
      <w:r>
        <w:rPr>
          <w:color w:val="auto"/>
        </w:rPr>
        <w:fldChar w:fldCharType="end"/>
      </w:r>
    </w:p>
    <w:p>
      <w:pPr>
        <w:pStyle w:val="12"/>
        <w:tabs>
          <w:tab w:val="right" w:leader="dot" w:pos="8844"/>
        </w:tabs>
      </w:pPr>
      <w:r>
        <w:rPr>
          <w:color w:val="auto"/>
        </w:rPr>
        <w:fldChar w:fldCharType="begin"/>
      </w:r>
      <w:r>
        <w:instrText xml:space="preserve"> HYPERLINK \l _Toc25724 </w:instrText>
      </w:r>
      <w:r>
        <w:fldChar w:fldCharType="separate"/>
      </w:r>
      <w:r>
        <w:rPr>
          <w:rFonts w:hint="eastAsia" w:ascii="楷体" w:hAnsi="楷体" w:eastAsia="楷体" w:cs="楷体"/>
          <w:bCs/>
          <w:szCs w:val="32"/>
        </w:rPr>
        <w:t>（七）坚持问计于民</w:t>
      </w:r>
      <w:r>
        <w:rPr>
          <w:rFonts w:ascii="楷体" w:hAnsi="楷体" w:eastAsia="楷体" w:cs="楷体"/>
          <w:bCs/>
          <w:szCs w:val="32"/>
        </w:rPr>
        <w:t xml:space="preserve"> </w:t>
      </w:r>
      <w:r>
        <w:rPr>
          <w:rFonts w:hint="eastAsia" w:ascii="楷体" w:hAnsi="楷体" w:eastAsia="楷体" w:cs="楷体"/>
          <w:bCs/>
          <w:szCs w:val="32"/>
        </w:rPr>
        <w:t>迈出了社会共治新步伐</w:t>
      </w:r>
      <w:r>
        <w:tab/>
      </w:r>
      <w:r>
        <w:fldChar w:fldCharType="begin"/>
      </w:r>
      <w:r>
        <w:instrText xml:space="preserve"> PAGEREF _Toc25724 \h </w:instrText>
      </w:r>
      <w:r>
        <w:fldChar w:fldCharType="separate"/>
      </w:r>
      <w:r>
        <w:t>- 7 -</w:t>
      </w:r>
      <w:r>
        <w:fldChar w:fldCharType="end"/>
      </w:r>
      <w:r>
        <w:rPr>
          <w:color w:val="auto"/>
        </w:rPr>
        <w:fldChar w:fldCharType="end"/>
      </w:r>
    </w:p>
    <w:p>
      <w:pPr>
        <w:pStyle w:val="12"/>
        <w:tabs>
          <w:tab w:val="right" w:leader="dot" w:pos="8844"/>
        </w:tabs>
      </w:pPr>
      <w:r>
        <w:rPr>
          <w:color w:val="auto"/>
        </w:rPr>
        <w:fldChar w:fldCharType="begin"/>
      </w:r>
      <w:r>
        <w:instrText xml:space="preserve"> HYPERLINK \l _Toc32477 </w:instrText>
      </w:r>
      <w:r>
        <w:fldChar w:fldCharType="separate"/>
      </w:r>
      <w:r>
        <w:rPr>
          <w:rFonts w:hint="eastAsia" w:ascii="楷体" w:hAnsi="楷体" w:eastAsia="楷体" w:cs="楷体"/>
          <w:bCs/>
          <w:szCs w:val="32"/>
        </w:rPr>
        <w:t>（八）借助科技手段</w:t>
      </w:r>
      <w:r>
        <w:rPr>
          <w:rFonts w:ascii="楷体" w:hAnsi="楷体" w:eastAsia="楷体" w:cs="楷体"/>
          <w:bCs/>
          <w:szCs w:val="32"/>
        </w:rPr>
        <w:t xml:space="preserve"> </w:t>
      </w:r>
      <w:r>
        <w:rPr>
          <w:rFonts w:hint="eastAsia" w:ascii="楷体" w:hAnsi="楷体" w:eastAsia="楷体" w:cs="楷体"/>
          <w:bCs/>
          <w:szCs w:val="32"/>
        </w:rPr>
        <w:t>推动了数据与监管深度融合</w:t>
      </w:r>
      <w:r>
        <w:tab/>
      </w:r>
      <w:r>
        <w:fldChar w:fldCharType="begin"/>
      </w:r>
      <w:r>
        <w:instrText xml:space="preserve"> PAGEREF _Toc32477 \h </w:instrText>
      </w:r>
      <w:r>
        <w:fldChar w:fldCharType="separate"/>
      </w:r>
      <w:r>
        <w:t>- 8 -</w:t>
      </w:r>
      <w:r>
        <w:fldChar w:fldCharType="end"/>
      </w:r>
      <w:r>
        <w:rPr>
          <w:color w:val="auto"/>
        </w:rPr>
        <w:fldChar w:fldCharType="end"/>
      </w:r>
    </w:p>
    <w:p>
      <w:pPr>
        <w:pStyle w:val="12"/>
        <w:tabs>
          <w:tab w:val="right" w:leader="dot" w:pos="8844"/>
        </w:tabs>
      </w:pPr>
      <w:r>
        <w:rPr>
          <w:color w:val="auto"/>
        </w:rPr>
        <w:fldChar w:fldCharType="begin"/>
      </w:r>
      <w:r>
        <w:instrText xml:space="preserve"> HYPERLINK \l _Toc25895 </w:instrText>
      </w:r>
      <w:r>
        <w:fldChar w:fldCharType="separate"/>
      </w:r>
      <w:r>
        <w:rPr>
          <w:rFonts w:hint="eastAsia" w:ascii="楷体" w:hAnsi="楷体" w:eastAsia="楷体" w:cs="楷体"/>
          <w:bCs/>
          <w:szCs w:val="32"/>
        </w:rPr>
        <w:t>（九）实施最严格监管</w:t>
      </w:r>
      <w:r>
        <w:rPr>
          <w:rFonts w:ascii="楷体" w:hAnsi="楷体" w:eastAsia="楷体" w:cs="楷体"/>
          <w:bCs/>
          <w:szCs w:val="32"/>
        </w:rPr>
        <w:t xml:space="preserve"> </w:t>
      </w:r>
      <w:r>
        <w:rPr>
          <w:rFonts w:hint="eastAsia" w:ascii="楷体" w:hAnsi="楷体" w:eastAsia="楷体" w:cs="楷体"/>
          <w:bCs/>
          <w:szCs w:val="32"/>
        </w:rPr>
        <w:t>查处了一批违法犯罪行为</w:t>
      </w:r>
      <w:r>
        <w:tab/>
      </w:r>
      <w:r>
        <w:fldChar w:fldCharType="begin"/>
      </w:r>
      <w:r>
        <w:instrText xml:space="preserve"> PAGEREF _Toc25895 \h </w:instrText>
      </w:r>
      <w:r>
        <w:fldChar w:fldCharType="separate"/>
      </w:r>
      <w:r>
        <w:t>- 8 -</w:t>
      </w:r>
      <w:r>
        <w:fldChar w:fldCharType="end"/>
      </w:r>
      <w:r>
        <w:rPr>
          <w:color w:val="auto"/>
        </w:rPr>
        <w:fldChar w:fldCharType="end"/>
      </w:r>
    </w:p>
    <w:p>
      <w:pPr>
        <w:pStyle w:val="12"/>
        <w:tabs>
          <w:tab w:val="right" w:leader="dot" w:pos="8844"/>
        </w:tabs>
      </w:pPr>
      <w:r>
        <w:rPr>
          <w:color w:val="auto"/>
        </w:rPr>
        <w:fldChar w:fldCharType="begin"/>
      </w:r>
      <w:r>
        <w:instrText xml:space="preserve"> HYPERLINK \l _Toc7542 </w:instrText>
      </w:r>
      <w:r>
        <w:fldChar w:fldCharType="separate"/>
      </w:r>
      <w:r>
        <w:rPr>
          <w:rFonts w:hint="eastAsia" w:ascii="楷体" w:hAnsi="楷体" w:eastAsia="楷体" w:cs="楷体"/>
          <w:bCs/>
          <w:szCs w:val="32"/>
        </w:rPr>
        <w:t>（十）完善应急体系</w:t>
      </w:r>
      <w:r>
        <w:rPr>
          <w:rFonts w:ascii="楷体" w:hAnsi="楷体" w:eastAsia="楷体" w:cs="楷体"/>
          <w:bCs/>
          <w:szCs w:val="32"/>
        </w:rPr>
        <w:t xml:space="preserve"> </w:t>
      </w:r>
      <w:r>
        <w:rPr>
          <w:rFonts w:hint="eastAsia" w:ascii="楷体" w:hAnsi="楷体" w:eastAsia="楷体" w:cs="楷体"/>
          <w:bCs/>
          <w:szCs w:val="32"/>
        </w:rPr>
        <w:t>提升了风险防控能力</w:t>
      </w:r>
      <w:r>
        <w:tab/>
      </w:r>
      <w:r>
        <w:fldChar w:fldCharType="begin"/>
      </w:r>
      <w:r>
        <w:instrText xml:space="preserve"> PAGEREF _Toc7542 \h </w:instrText>
      </w:r>
      <w:r>
        <w:fldChar w:fldCharType="separate"/>
      </w:r>
      <w:r>
        <w:t>- 9 -</w:t>
      </w:r>
      <w:r>
        <w:fldChar w:fldCharType="end"/>
      </w:r>
      <w:r>
        <w:rPr>
          <w:color w:val="auto"/>
        </w:rPr>
        <w:fldChar w:fldCharType="end"/>
      </w:r>
    </w:p>
    <w:p>
      <w:pPr>
        <w:pStyle w:val="11"/>
        <w:tabs>
          <w:tab w:val="right" w:leader="dot" w:pos="8844"/>
        </w:tabs>
      </w:pPr>
      <w:r>
        <w:rPr>
          <w:color w:val="auto"/>
        </w:rPr>
        <w:fldChar w:fldCharType="begin"/>
      </w:r>
      <w:r>
        <w:instrText xml:space="preserve"> HYPERLINK \l _Toc20662 </w:instrText>
      </w:r>
      <w:r>
        <w:fldChar w:fldCharType="separate"/>
      </w:r>
      <w:r>
        <w:rPr>
          <w:rFonts w:hint="eastAsia" w:ascii="黑体" w:hAnsi="黑体" w:eastAsia="黑体" w:cs="黑体"/>
          <w:szCs w:val="32"/>
        </w:rPr>
        <w:t>二、</w:t>
      </w:r>
      <w:r>
        <w:rPr>
          <w:rFonts w:hint="eastAsia" w:ascii="黑体" w:hAnsi="黑体" w:eastAsia="黑体" w:cs="黑体"/>
          <w:szCs w:val="32"/>
          <w:lang w:val="en-US" w:eastAsia="zh-CN"/>
        </w:rPr>
        <w:t>发展环境</w:t>
      </w:r>
      <w:r>
        <w:tab/>
      </w:r>
      <w:r>
        <w:fldChar w:fldCharType="begin"/>
      </w:r>
      <w:r>
        <w:instrText xml:space="preserve"> PAGEREF _Toc20662 \h </w:instrText>
      </w:r>
      <w:r>
        <w:fldChar w:fldCharType="separate"/>
      </w:r>
      <w:r>
        <w:t>- 11 -</w:t>
      </w:r>
      <w:r>
        <w:fldChar w:fldCharType="end"/>
      </w:r>
      <w:r>
        <w:rPr>
          <w:color w:val="auto"/>
        </w:rPr>
        <w:fldChar w:fldCharType="end"/>
      </w:r>
    </w:p>
    <w:p>
      <w:pPr>
        <w:pStyle w:val="11"/>
        <w:tabs>
          <w:tab w:val="right" w:leader="dot" w:pos="8844"/>
        </w:tabs>
      </w:pPr>
      <w:r>
        <w:rPr>
          <w:color w:val="auto"/>
        </w:rPr>
        <w:fldChar w:fldCharType="begin"/>
      </w:r>
      <w:r>
        <w:instrText xml:space="preserve"> HYPERLINK \l _Toc2398 </w:instrText>
      </w:r>
      <w:r>
        <w:fldChar w:fldCharType="separate"/>
      </w:r>
      <w:r>
        <w:rPr>
          <w:rFonts w:hint="eastAsia" w:ascii="黑体" w:hAnsi="黑体" w:eastAsia="黑体" w:cs="黑体"/>
          <w:szCs w:val="32"/>
        </w:rPr>
        <w:t>三、总体要求</w:t>
      </w:r>
      <w:r>
        <w:tab/>
      </w:r>
      <w:r>
        <w:fldChar w:fldCharType="begin"/>
      </w:r>
      <w:r>
        <w:instrText xml:space="preserve"> PAGEREF _Toc2398 \h </w:instrText>
      </w:r>
      <w:r>
        <w:fldChar w:fldCharType="separate"/>
      </w:r>
      <w:r>
        <w:t>- 13 -</w:t>
      </w:r>
      <w:r>
        <w:fldChar w:fldCharType="end"/>
      </w:r>
      <w:r>
        <w:rPr>
          <w:color w:val="auto"/>
        </w:rPr>
        <w:fldChar w:fldCharType="end"/>
      </w:r>
    </w:p>
    <w:p>
      <w:pPr>
        <w:pStyle w:val="12"/>
        <w:tabs>
          <w:tab w:val="right" w:leader="dot" w:pos="8844"/>
        </w:tabs>
      </w:pPr>
      <w:r>
        <w:rPr>
          <w:color w:val="auto"/>
        </w:rPr>
        <w:fldChar w:fldCharType="begin"/>
      </w:r>
      <w:r>
        <w:instrText xml:space="preserve"> HYPERLINK \l _Toc29532 </w:instrText>
      </w:r>
      <w:r>
        <w:fldChar w:fldCharType="separate"/>
      </w:r>
      <w:r>
        <w:rPr>
          <w:rFonts w:hint="eastAsia" w:ascii="楷体" w:hAnsi="楷体" w:eastAsia="楷体" w:cs="楷体"/>
          <w:bCs/>
          <w:szCs w:val="32"/>
        </w:rPr>
        <w:t>（一）指导思想</w:t>
      </w:r>
      <w:r>
        <w:tab/>
      </w:r>
      <w:r>
        <w:fldChar w:fldCharType="begin"/>
      </w:r>
      <w:r>
        <w:instrText xml:space="preserve"> PAGEREF _Toc29532 \h </w:instrText>
      </w:r>
      <w:r>
        <w:fldChar w:fldCharType="separate"/>
      </w:r>
      <w:r>
        <w:t>- 13 -</w:t>
      </w:r>
      <w:r>
        <w:fldChar w:fldCharType="end"/>
      </w:r>
      <w:r>
        <w:rPr>
          <w:color w:val="auto"/>
        </w:rPr>
        <w:fldChar w:fldCharType="end"/>
      </w:r>
    </w:p>
    <w:p>
      <w:pPr>
        <w:pStyle w:val="12"/>
        <w:tabs>
          <w:tab w:val="right" w:leader="dot" w:pos="8844"/>
        </w:tabs>
      </w:pPr>
      <w:r>
        <w:rPr>
          <w:color w:val="auto"/>
        </w:rPr>
        <w:fldChar w:fldCharType="begin"/>
      </w:r>
      <w:r>
        <w:instrText xml:space="preserve"> HYPERLINK \l _Toc6130 </w:instrText>
      </w:r>
      <w:r>
        <w:fldChar w:fldCharType="separate"/>
      </w:r>
      <w:r>
        <w:rPr>
          <w:rFonts w:hint="eastAsia" w:ascii="楷体" w:hAnsi="楷体" w:eastAsia="楷体" w:cs="楷体"/>
          <w:bCs/>
          <w:szCs w:val="32"/>
        </w:rPr>
        <w:t>（二）基本原则</w:t>
      </w:r>
      <w:r>
        <w:tab/>
      </w:r>
      <w:r>
        <w:fldChar w:fldCharType="begin"/>
      </w:r>
      <w:r>
        <w:instrText xml:space="preserve"> PAGEREF _Toc6130 \h </w:instrText>
      </w:r>
      <w:r>
        <w:fldChar w:fldCharType="separate"/>
      </w:r>
      <w:r>
        <w:t>- 13 -</w:t>
      </w:r>
      <w:r>
        <w:fldChar w:fldCharType="end"/>
      </w:r>
      <w:r>
        <w:rPr>
          <w:color w:val="auto"/>
        </w:rPr>
        <w:fldChar w:fldCharType="end"/>
      </w:r>
    </w:p>
    <w:p>
      <w:pPr>
        <w:pStyle w:val="11"/>
        <w:tabs>
          <w:tab w:val="right" w:leader="dot" w:pos="8844"/>
        </w:tabs>
      </w:pPr>
      <w:r>
        <w:rPr>
          <w:color w:val="auto"/>
        </w:rPr>
        <w:fldChar w:fldCharType="begin"/>
      </w:r>
      <w:r>
        <w:instrText xml:space="preserve"> HYPERLINK \l _Toc26414 </w:instrText>
      </w:r>
      <w:r>
        <w:fldChar w:fldCharType="separate"/>
      </w:r>
      <w:r>
        <w:rPr>
          <w:rFonts w:hint="eastAsia" w:ascii="黑体" w:hAnsi="黑体" w:eastAsia="黑体" w:cs="黑体"/>
          <w:bCs w:val="0"/>
          <w:szCs w:val="32"/>
          <w:lang w:val="en-US" w:eastAsia="zh-CN"/>
        </w:rPr>
        <w:t>四、</w:t>
      </w:r>
      <w:r>
        <w:rPr>
          <w:rFonts w:hint="eastAsia" w:ascii="黑体" w:hAnsi="黑体" w:eastAsia="黑体" w:cs="黑体"/>
          <w:bCs w:val="0"/>
          <w:szCs w:val="32"/>
        </w:rPr>
        <w:t>发展目标</w:t>
      </w:r>
      <w:r>
        <w:tab/>
      </w:r>
      <w:r>
        <w:fldChar w:fldCharType="begin"/>
      </w:r>
      <w:r>
        <w:instrText xml:space="preserve"> PAGEREF _Toc26414 \h </w:instrText>
      </w:r>
      <w:r>
        <w:fldChar w:fldCharType="separate"/>
      </w:r>
      <w:r>
        <w:t>- 15 -</w:t>
      </w:r>
      <w:r>
        <w:fldChar w:fldCharType="end"/>
      </w:r>
      <w:r>
        <w:rPr>
          <w:color w:val="auto"/>
        </w:rPr>
        <w:fldChar w:fldCharType="end"/>
      </w:r>
    </w:p>
    <w:p>
      <w:pPr>
        <w:pStyle w:val="11"/>
        <w:tabs>
          <w:tab w:val="right" w:leader="dot" w:pos="8844"/>
        </w:tabs>
      </w:pPr>
      <w:r>
        <w:rPr>
          <w:color w:val="auto"/>
        </w:rPr>
        <w:fldChar w:fldCharType="begin"/>
      </w:r>
      <w:r>
        <w:instrText xml:space="preserve"> HYPERLINK \l _Toc21622 </w:instrText>
      </w:r>
      <w:r>
        <w:fldChar w:fldCharType="separate"/>
      </w:r>
      <w:r>
        <w:rPr>
          <w:rFonts w:hint="eastAsia" w:ascii="黑体" w:hAnsi="黑体" w:eastAsia="黑体" w:cs="黑体"/>
          <w:szCs w:val="32"/>
          <w:lang w:val="en-US" w:eastAsia="zh-CN"/>
        </w:rPr>
        <w:t>五</w:t>
      </w:r>
      <w:r>
        <w:rPr>
          <w:rFonts w:hint="eastAsia" w:ascii="黑体" w:hAnsi="黑体" w:eastAsia="黑体" w:cs="黑体"/>
          <w:szCs w:val="32"/>
        </w:rPr>
        <w:t>、主要任务</w:t>
      </w:r>
      <w:r>
        <w:tab/>
      </w:r>
      <w:r>
        <w:fldChar w:fldCharType="begin"/>
      </w:r>
      <w:r>
        <w:instrText xml:space="preserve"> PAGEREF _Toc21622 \h </w:instrText>
      </w:r>
      <w:r>
        <w:fldChar w:fldCharType="separate"/>
      </w:r>
      <w:r>
        <w:t>- 17 -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_Toc1495 </w:instrText>
      </w:r>
      <w:r>
        <w:fldChar w:fldCharType="separate"/>
      </w:r>
      <w:r>
        <w:rPr>
          <w:rFonts w:hint="eastAsia" w:ascii="楷体" w:hAnsi="楷体" w:eastAsia="楷体" w:cs="楷体"/>
          <w:bCs/>
          <w:szCs w:val="32"/>
        </w:rPr>
        <w:t>（一）坚持组织领导</w:t>
      </w:r>
      <w:r>
        <w:rPr>
          <w:rFonts w:ascii="楷体" w:hAnsi="楷体" w:eastAsia="楷体" w:cs="楷体"/>
          <w:bCs/>
          <w:szCs w:val="32"/>
        </w:rPr>
        <w:t xml:space="preserve"> </w:t>
      </w:r>
      <w:r>
        <w:rPr>
          <w:rFonts w:hint="eastAsia" w:ascii="楷体" w:hAnsi="楷体" w:eastAsia="楷体" w:cs="楷体"/>
          <w:bCs/>
          <w:szCs w:val="32"/>
        </w:rPr>
        <w:t>落实责任机制</w:t>
      </w:r>
      <w:r>
        <w:tab/>
      </w:r>
      <w:r>
        <w:fldChar w:fldCharType="begin"/>
      </w:r>
      <w:r>
        <w:instrText xml:space="preserve"> PAGEREF _Toc1495 \h </w:instrText>
      </w:r>
      <w:r>
        <w:fldChar w:fldCharType="separate"/>
      </w:r>
      <w:r>
        <w:t>- 17 -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_Toc10105 </w:instrText>
      </w:r>
      <w:r>
        <w:fldChar w:fldCharType="separate"/>
      </w:r>
      <w:r>
        <w:rPr>
          <w:rFonts w:hint="eastAsia" w:ascii="楷体" w:hAnsi="楷体" w:eastAsia="楷体" w:cs="楷体"/>
          <w:bCs/>
          <w:szCs w:val="32"/>
        </w:rPr>
        <w:t>（二）坚持以人为本</w:t>
      </w:r>
      <w:r>
        <w:rPr>
          <w:rFonts w:hint="eastAsia" w:ascii="楷体" w:hAnsi="楷体" w:eastAsia="楷体" w:cs="楷体"/>
          <w:bCs/>
          <w:szCs w:val="32"/>
          <w:lang w:val="en-US" w:eastAsia="zh-CN"/>
        </w:rPr>
        <w:t xml:space="preserve"> </w:t>
      </w:r>
      <w:r>
        <w:rPr>
          <w:rFonts w:hint="eastAsia" w:ascii="楷体" w:hAnsi="楷体" w:eastAsia="楷体" w:cs="楷体"/>
          <w:bCs/>
          <w:szCs w:val="32"/>
        </w:rPr>
        <w:t>建设食安赣州</w:t>
      </w:r>
      <w:r>
        <w:tab/>
      </w:r>
      <w:r>
        <w:fldChar w:fldCharType="begin"/>
      </w:r>
      <w:r>
        <w:instrText xml:space="preserve"> PAGEREF _Toc10105 \h </w:instrText>
      </w:r>
      <w:r>
        <w:fldChar w:fldCharType="separate"/>
      </w:r>
      <w:r>
        <w:t>- 17 -</w:t>
      </w:r>
      <w:r>
        <w:fldChar w:fldCharType="end"/>
      </w:r>
      <w:r>
        <w:rPr>
          <w:color w:val="auto"/>
        </w:rPr>
        <w:fldChar w:fldCharType="end"/>
      </w:r>
    </w:p>
    <w:p>
      <w:pPr>
        <w:pStyle w:val="12"/>
        <w:tabs>
          <w:tab w:val="right" w:leader="dot" w:pos="8844"/>
        </w:tabs>
      </w:pPr>
      <w:r>
        <w:rPr>
          <w:color w:val="auto"/>
        </w:rPr>
        <w:fldChar w:fldCharType="begin"/>
      </w:r>
      <w:r>
        <w:instrText xml:space="preserve"> HYPERLINK \l _Toc31993 </w:instrText>
      </w:r>
      <w:r>
        <w:fldChar w:fldCharType="separate"/>
      </w:r>
      <w:r>
        <w:rPr>
          <w:rFonts w:hint="eastAsia" w:ascii="楷体" w:hAnsi="楷体" w:eastAsia="楷体" w:cs="楷体"/>
          <w:bCs/>
          <w:szCs w:val="32"/>
        </w:rPr>
        <w:t>（三）构建新发展格局</w:t>
      </w:r>
      <w:r>
        <w:rPr>
          <w:rFonts w:hint="eastAsia" w:ascii="楷体" w:hAnsi="楷体" w:eastAsia="楷体" w:cs="楷体"/>
          <w:bCs/>
          <w:szCs w:val="32"/>
          <w:lang w:val="en-US" w:eastAsia="zh-CN"/>
        </w:rPr>
        <w:t xml:space="preserve"> </w:t>
      </w:r>
      <w:r>
        <w:rPr>
          <w:rFonts w:hint="eastAsia" w:ascii="楷体" w:hAnsi="楷体" w:eastAsia="楷体" w:cs="楷体"/>
          <w:bCs/>
          <w:szCs w:val="32"/>
        </w:rPr>
        <w:t>推动高质量发展</w:t>
      </w:r>
      <w:r>
        <w:tab/>
      </w:r>
      <w:r>
        <w:fldChar w:fldCharType="begin"/>
      </w:r>
      <w:r>
        <w:instrText xml:space="preserve"> PAGEREF _Toc31993 \h </w:instrText>
      </w:r>
      <w:r>
        <w:fldChar w:fldCharType="separate"/>
      </w:r>
      <w:r>
        <w:t>- 18 -</w:t>
      </w:r>
      <w:r>
        <w:fldChar w:fldCharType="end"/>
      </w:r>
      <w:r>
        <w:rPr>
          <w:color w:val="auto"/>
        </w:rPr>
        <w:fldChar w:fldCharType="end"/>
      </w:r>
    </w:p>
    <w:p>
      <w:pPr>
        <w:pStyle w:val="12"/>
        <w:tabs>
          <w:tab w:val="right" w:leader="dot" w:pos="8844"/>
        </w:tabs>
      </w:pPr>
      <w:r>
        <w:rPr>
          <w:color w:val="auto"/>
        </w:rPr>
        <w:fldChar w:fldCharType="begin"/>
      </w:r>
      <w:r>
        <w:instrText xml:space="preserve"> HYPERLINK \l _Toc31285 </w:instrText>
      </w:r>
      <w:r>
        <w:fldChar w:fldCharType="separate"/>
      </w:r>
      <w:r>
        <w:rPr>
          <w:rFonts w:hint="eastAsia" w:ascii="楷体" w:hAnsi="楷体" w:eastAsia="楷体" w:cs="楷体"/>
          <w:bCs/>
          <w:szCs w:val="32"/>
        </w:rPr>
        <w:t>（四）深化制度改革</w:t>
      </w:r>
      <w:r>
        <w:rPr>
          <w:rFonts w:hint="eastAsia" w:ascii="楷体" w:hAnsi="楷体" w:eastAsia="楷体" w:cs="楷体"/>
          <w:bCs/>
          <w:szCs w:val="32"/>
          <w:lang w:val="en-US" w:eastAsia="zh-CN"/>
        </w:rPr>
        <w:t xml:space="preserve"> </w:t>
      </w:r>
      <w:r>
        <w:rPr>
          <w:rFonts w:hint="eastAsia" w:ascii="楷体" w:hAnsi="楷体" w:eastAsia="楷体" w:cs="楷体"/>
          <w:bCs/>
          <w:szCs w:val="32"/>
        </w:rPr>
        <w:t>优化营商环境</w:t>
      </w:r>
      <w:r>
        <w:tab/>
      </w:r>
      <w:r>
        <w:fldChar w:fldCharType="begin"/>
      </w:r>
      <w:r>
        <w:instrText xml:space="preserve"> PAGEREF _Toc31285 \h </w:instrText>
      </w:r>
      <w:r>
        <w:fldChar w:fldCharType="separate"/>
      </w:r>
      <w:r>
        <w:t>- 19 -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_Toc17020 </w:instrText>
      </w:r>
      <w:r>
        <w:fldChar w:fldCharType="separate"/>
      </w:r>
      <w:r>
        <w:rPr>
          <w:rFonts w:hint="eastAsia" w:ascii="楷体" w:hAnsi="楷体" w:eastAsia="楷体" w:cs="楷体"/>
          <w:bCs/>
          <w:szCs w:val="32"/>
        </w:rPr>
        <w:t>（五）加强队伍建设</w:t>
      </w:r>
      <w:r>
        <w:rPr>
          <w:rFonts w:hint="eastAsia" w:ascii="楷体" w:hAnsi="楷体" w:eastAsia="楷体" w:cs="楷体"/>
          <w:bCs/>
          <w:szCs w:val="32"/>
          <w:lang w:val="en-US" w:eastAsia="zh-CN"/>
        </w:rPr>
        <w:t xml:space="preserve"> </w:t>
      </w:r>
      <w:r>
        <w:rPr>
          <w:rFonts w:hint="eastAsia" w:ascii="楷体" w:hAnsi="楷体" w:eastAsia="楷体" w:cs="楷体"/>
          <w:bCs/>
          <w:szCs w:val="32"/>
        </w:rPr>
        <w:t>夯实监管力量</w:t>
      </w:r>
      <w:r>
        <w:tab/>
      </w:r>
      <w:r>
        <w:fldChar w:fldCharType="begin"/>
      </w:r>
      <w:r>
        <w:instrText xml:space="preserve"> PAGEREF _Toc17020 \h </w:instrText>
      </w:r>
      <w:r>
        <w:fldChar w:fldCharType="separate"/>
      </w:r>
      <w:r>
        <w:t>- 20 -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_Toc15911 </w:instrText>
      </w:r>
      <w:r>
        <w:fldChar w:fldCharType="separate"/>
      </w:r>
      <w:r>
        <w:rPr>
          <w:rFonts w:hint="eastAsia" w:ascii="楷体" w:hAnsi="楷体" w:eastAsia="楷体" w:cs="楷体"/>
          <w:bCs/>
          <w:szCs w:val="32"/>
        </w:rPr>
        <w:t>（六）强化技术支撑</w:t>
      </w:r>
      <w:r>
        <w:rPr>
          <w:rFonts w:hint="eastAsia" w:ascii="楷体" w:hAnsi="楷体" w:eastAsia="楷体" w:cs="楷体"/>
          <w:bCs/>
          <w:szCs w:val="32"/>
          <w:lang w:val="en-US" w:eastAsia="zh-CN"/>
        </w:rPr>
        <w:t xml:space="preserve"> </w:t>
      </w:r>
      <w:r>
        <w:rPr>
          <w:rFonts w:hint="eastAsia" w:ascii="楷体" w:hAnsi="楷体" w:eastAsia="楷体" w:cs="楷体"/>
          <w:bCs/>
          <w:szCs w:val="32"/>
        </w:rPr>
        <w:t>推进智慧监管</w:t>
      </w:r>
      <w:r>
        <w:tab/>
      </w:r>
      <w:r>
        <w:fldChar w:fldCharType="begin"/>
      </w:r>
      <w:r>
        <w:instrText xml:space="preserve"> PAGEREF _Toc15911 \h </w:instrText>
      </w:r>
      <w:r>
        <w:fldChar w:fldCharType="separate"/>
      </w:r>
      <w:r>
        <w:t>- 21 -</w:t>
      </w:r>
      <w:r>
        <w:fldChar w:fldCharType="end"/>
      </w:r>
      <w:r>
        <w:rPr>
          <w:color w:val="auto"/>
        </w:rPr>
        <w:fldChar w:fldCharType="end"/>
      </w:r>
    </w:p>
    <w:p>
      <w:pPr>
        <w:pStyle w:val="12"/>
        <w:tabs>
          <w:tab w:val="right" w:leader="dot" w:pos="8844"/>
        </w:tabs>
      </w:pPr>
      <w:r>
        <w:rPr>
          <w:color w:val="auto"/>
        </w:rPr>
        <w:fldChar w:fldCharType="begin"/>
      </w:r>
      <w:r>
        <w:instrText xml:space="preserve"> HYPERLINK \l _Toc20564 </w:instrText>
      </w:r>
      <w:r>
        <w:fldChar w:fldCharType="separate"/>
      </w:r>
      <w:r>
        <w:rPr>
          <w:rFonts w:hint="eastAsia" w:ascii="楷体" w:hAnsi="楷体" w:eastAsia="楷体" w:cs="楷体"/>
          <w:bCs/>
          <w:szCs w:val="32"/>
        </w:rPr>
        <w:t>（七）落实全程监管</w:t>
      </w:r>
      <w:r>
        <w:rPr>
          <w:rFonts w:ascii="楷体" w:hAnsi="楷体" w:eastAsia="楷体" w:cs="楷体"/>
          <w:bCs/>
          <w:szCs w:val="32"/>
        </w:rPr>
        <w:t xml:space="preserve"> </w:t>
      </w:r>
      <w:r>
        <w:rPr>
          <w:rFonts w:hint="eastAsia" w:ascii="楷体" w:hAnsi="楷体" w:eastAsia="楷体" w:cs="楷体"/>
          <w:bCs/>
          <w:szCs w:val="32"/>
        </w:rPr>
        <w:t>保障食品安全</w:t>
      </w:r>
      <w:r>
        <w:tab/>
      </w:r>
      <w:r>
        <w:fldChar w:fldCharType="begin"/>
      </w:r>
      <w:r>
        <w:instrText xml:space="preserve"> PAGEREF _Toc20564 \h </w:instrText>
      </w:r>
      <w:r>
        <w:fldChar w:fldCharType="separate"/>
      </w:r>
      <w:r>
        <w:t>- 22 -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_Toc16948 </w:instrText>
      </w:r>
      <w:r>
        <w:fldChar w:fldCharType="separate"/>
      </w:r>
      <w:r>
        <w:rPr>
          <w:rFonts w:hint="eastAsia" w:ascii="楷体" w:hAnsi="楷体" w:eastAsia="楷体" w:cs="楷体"/>
          <w:bCs/>
          <w:szCs w:val="32"/>
        </w:rPr>
        <w:t>（八）打击违法犯罪</w:t>
      </w:r>
      <w:r>
        <w:rPr>
          <w:rFonts w:ascii="楷体" w:hAnsi="楷体" w:eastAsia="楷体" w:cs="楷体"/>
          <w:bCs/>
          <w:szCs w:val="32"/>
        </w:rPr>
        <w:t xml:space="preserve"> </w:t>
      </w:r>
      <w:r>
        <w:rPr>
          <w:rFonts w:hint="eastAsia" w:ascii="楷体" w:hAnsi="楷体" w:eastAsia="楷体" w:cs="楷体"/>
          <w:bCs/>
          <w:szCs w:val="32"/>
        </w:rPr>
        <w:t>联合信用惩戒</w:t>
      </w:r>
      <w:r>
        <w:tab/>
      </w:r>
      <w:r>
        <w:fldChar w:fldCharType="begin"/>
      </w:r>
      <w:r>
        <w:instrText xml:space="preserve"> PAGEREF _Toc16948 \h </w:instrText>
      </w:r>
      <w:r>
        <w:fldChar w:fldCharType="separate"/>
      </w:r>
      <w:r>
        <w:t>- 23 -</w:t>
      </w:r>
      <w:r>
        <w:fldChar w:fldCharType="end"/>
      </w:r>
      <w:r>
        <w:rPr>
          <w:color w:val="auto"/>
        </w:rPr>
        <w:fldChar w:fldCharType="end"/>
      </w:r>
    </w:p>
    <w:p>
      <w:pPr>
        <w:pStyle w:val="12"/>
        <w:tabs>
          <w:tab w:val="right" w:leader="dot" w:pos="8844"/>
        </w:tabs>
      </w:pPr>
      <w:r>
        <w:rPr>
          <w:color w:val="auto"/>
        </w:rPr>
        <w:fldChar w:fldCharType="begin"/>
      </w:r>
      <w:r>
        <w:instrText xml:space="preserve"> HYPERLINK \l _Toc2956 </w:instrText>
      </w:r>
      <w:r>
        <w:fldChar w:fldCharType="separate"/>
      </w:r>
      <w:r>
        <w:rPr>
          <w:rFonts w:hint="eastAsia" w:ascii="楷体" w:hAnsi="楷体" w:eastAsia="楷体" w:cs="楷体"/>
          <w:bCs/>
          <w:szCs w:val="32"/>
        </w:rPr>
        <w:t>（九）树立风险意识</w:t>
      </w:r>
      <w:r>
        <w:rPr>
          <w:rFonts w:hint="eastAsia" w:ascii="楷体" w:hAnsi="楷体" w:eastAsia="楷体" w:cs="楷体"/>
          <w:bCs/>
          <w:szCs w:val="32"/>
          <w:lang w:val="en-US" w:eastAsia="zh-CN"/>
        </w:rPr>
        <w:t xml:space="preserve"> </w:t>
      </w:r>
      <w:r>
        <w:rPr>
          <w:rFonts w:hint="eastAsia" w:ascii="楷体" w:hAnsi="楷体" w:eastAsia="楷体" w:cs="楷体"/>
          <w:bCs/>
          <w:szCs w:val="32"/>
        </w:rPr>
        <w:t>提高应对能力</w:t>
      </w:r>
      <w:r>
        <w:tab/>
      </w:r>
      <w:r>
        <w:fldChar w:fldCharType="begin"/>
      </w:r>
      <w:r>
        <w:instrText xml:space="preserve"> PAGEREF _Toc2956 \h </w:instrText>
      </w:r>
      <w:r>
        <w:fldChar w:fldCharType="separate"/>
      </w:r>
      <w:r>
        <w:t>- 24 -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_Toc18959 </w:instrText>
      </w:r>
      <w:r>
        <w:fldChar w:fldCharType="separate"/>
      </w:r>
      <w:r>
        <w:rPr>
          <w:rFonts w:hint="eastAsia" w:ascii="楷体" w:hAnsi="楷体" w:eastAsia="楷体" w:cs="楷体"/>
          <w:bCs/>
          <w:szCs w:val="32"/>
        </w:rPr>
        <w:t>（十）创新社会治理</w:t>
      </w:r>
      <w:r>
        <w:rPr>
          <w:rFonts w:ascii="楷体" w:hAnsi="楷体" w:eastAsia="楷体" w:cs="楷体"/>
          <w:bCs/>
          <w:szCs w:val="32"/>
        </w:rPr>
        <w:t xml:space="preserve"> </w:t>
      </w:r>
      <w:r>
        <w:rPr>
          <w:rFonts w:hint="eastAsia" w:ascii="楷体" w:hAnsi="楷体" w:eastAsia="楷体" w:cs="楷体"/>
          <w:bCs/>
          <w:szCs w:val="32"/>
        </w:rPr>
        <w:t>共建食品安全</w:t>
      </w:r>
      <w:r>
        <w:tab/>
      </w:r>
      <w:r>
        <w:fldChar w:fldCharType="begin"/>
      </w:r>
      <w:r>
        <w:instrText xml:space="preserve"> PAGEREF _Toc18959 \h </w:instrText>
      </w:r>
      <w:r>
        <w:fldChar w:fldCharType="separate"/>
      </w:r>
      <w:r>
        <w:t>- 24 -</w:t>
      </w:r>
      <w:r>
        <w:fldChar w:fldCharType="end"/>
      </w:r>
      <w:r>
        <w:rPr>
          <w:color w:val="auto"/>
        </w:rPr>
        <w:fldChar w:fldCharType="end"/>
      </w:r>
    </w:p>
    <w:p>
      <w:pPr>
        <w:pStyle w:val="12"/>
        <w:tabs>
          <w:tab w:val="right" w:leader="dot" w:pos="8844"/>
        </w:tabs>
      </w:pPr>
      <w:r>
        <w:rPr>
          <w:color w:val="auto"/>
        </w:rPr>
        <w:fldChar w:fldCharType="begin"/>
      </w:r>
      <w:r>
        <w:instrText xml:space="preserve"> HYPERLINK \l _Toc6294 </w:instrText>
      </w:r>
      <w:r>
        <w:fldChar w:fldCharType="separate"/>
      </w:r>
      <w:r>
        <w:rPr>
          <w:rFonts w:hint="eastAsia" w:ascii="楷体" w:hAnsi="楷体" w:eastAsia="楷体" w:cs="楷体"/>
          <w:bCs/>
          <w:szCs w:val="32"/>
        </w:rPr>
        <w:t>（十一）反对食品浪费</w:t>
      </w:r>
      <w:r>
        <w:rPr>
          <w:rFonts w:hint="eastAsia" w:ascii="楷体" w:hAnsi="楷体" w:eastAsia="楷体" w:cs="楷体"/>
          <w:bCs/>
          <w:szCs w:val="32"/>
          <w:lang w:val="en-US" w:eastAsia="zh-CN"/>
        </w:rPr>
        <w:t xml:space="preserve"> </w:t>
      </w:r>
      <w:r>
        <w:rPr>
          <w:rFonts w:hint="eastAsia" w:ascii="楷体" w:hAnsi="楷体" w:eastAsia="楷体" w:cs="楷体"/>
          <w:bCs/>
          <w:szCs w:val="32"/>
        </w:rPr>
        <w:t>维护粮食安全</w:t>
      </w:r>
      <w:r>
        <w:tab/>
      </w:r>
      <w:r>
        <w:fldChar w:fldCharType="begin"/>
      </w:r>
      <w:r>
        <w:instrText xml:space="preserve"> PAGEREF _Toc6294 \h </w:instrText>
      </w:r>
      <w:r>
        <w:fldChar w:fldCharType="separate"/>
      </w:r>
      <w:r>
        <w:t>- 25 -</w:t>
      </w:r>
      <w:r>
        <w:fldChar w:fldCharType="end"/>
      </w:r>
      <w:r>
        <w:rPr>
          <w:color w:val="auto"/>
        </w:rPr>
        <w:fldChar w:fldCharType="end"/>
      </w:r>
    </w:p>
    <w:p>
      <w:pPr>
        <w:pStyle w:val="12"/>
        <w:tabs>
          <w:tab w:val="right" w:leader="dot" w:pos="8844"/>
        </w:tabs>
      </w:pPr>
      <w:r>
        <w:rPr>
          <w:color w:val="auto"/>
        </w:rPr>
        <w:fldChar w:fldCharType="begin"/>
      </w:r>
      <w:r>
        <w:instrText xml:space="preserve"> HYPERLINK \l _Toc16832 </w:instrText>
      </w:r>
      <w:r>
        <w:fldChar w:fldCharType="separate"/>
      </w:r>
      <w:r>
        <w:rPr>
          <w:rFonts w:hint="eastAsia" w:ascii="楷体" w:hAnsi="楷体" w:eastAsia="楷体" w:cs="楷体"/>
          <w:bCs/>
          <w:szCs w:val="32"/>
        </w:rPr>
        <w:t>（十二）建设放心工程</w:t>
      </w:r>
      <w:r>
        <w:rPr>
          <w:rFonts w:hint="eastAsia" w:ascii="楷体" w:hAnsi="楷体" w:eastAsia="楷体" w:cs="楷体"/>
          <w:bCs/>
          <w:szCs w:val="32"/>
          <w:lang w:val="en-US" w:eastAsia="zh-CN"/>
        </w:rPr>
        <w:t xml:space="preserve"> </w:t>
      </w:r>
      <w:r>
        <w:rPr>
          <w:rFonts w:hint="eastAsia" w:ascii="楷体" w:hAnsi="楷体" w:eastAsia="楷体" w:cs="楷体"/>
          <w:bCs/>
          <w:szCs w:val="32"/>
        </w:rPr>
        <w:t>开展攻坚行动</w:t>
      </w:r>
      <w:r>
        <w:tab/>
      </w:r>
      <w:r>
        <w:fldChar w:fldCharType="begin"/>
      </w:r>
      <w:r>
        <w:instrText xml:space="preserve"> PAGEREF _Toc16832 \h </w:instrText>
      </w:r>
      <w:r>
        <w:fldChar w:fldCharType="separate"/>
      </w:r>
      <w:r>
        <w:t>- 25 -</w:t>
      </w:r>
      <w:r>
        <w:fldChar w:fldCharType="end"/>
      </w:r>
      <w:r>
        <w:rPr>
          <w:color w:val="auto"/>
        </w:rPr>
        <w:fldChar w:fldCharType="end"/>
      </w:r>
    </w:p>
    <w:p>
      <w:pPr>
        <w:pStyle w:val="11"/>
        <w:tabs>
          <w:tab w:val="right" w:leader="dot" w:pos="8844"/>
        </w:tabs>
      </w:pPr>
      <w:r>
        <w:rPr>
          <w:color w:val="auto"/>
        </w:rPr>
        <w:fldChar w:fldCharType="begin"/>
      </w:r>
      <w:r>
        <w:instrText xml:space="preserve"> HYPERLINK \l _Toc12081 </w:instrText>
      </w:r>
      <w:r>
        <w:fldChar w:fldCharType="separate"/>
      </w:r>
      <w:r>
        <w:rPr>
          <w:rFonts w:hint="eastAsia" w:ascii="黑体" w:hAnsi="黑体" w:eastAsia="黑体" w:cs="黑体"/>
          <w:szCs w:val="32"/>
          <w:lang w:val="en-US" w:eastAsia="zh-CN"/>
        </w:rPr>
        <w:t>六</w:t>
      </w:r>
      <w:r>
        <w:rPr>
          <w:rFonts w:hint="eastAsia" w:ascii="黑体" w:hAnsi="黑体" w:eastAsia="黑体" w:cs="黑体"/>
          <w:szCs w:val="32"/>
        </w:rPr>
        <w:t>、政策保障</w:t>
      </w:r>
      <w:r>
        <w:tab/>
      </w:r>
      <w:r>
        <w:fldChar w:fldCharType="begin"/>
      </w:r>
      <w:r>
        <w:instrText xml:space="preserve"> PAGEREF _Toc12081 \h </w:instrText>
      </w:r>
      <w:r>
        <w:fldChar w:fldCharType="separate"/>
      </w:r>
      <w:r>
        <w:t>- 30 -</w:t>
      </w:r>
      <w:r>
        <w:fldChar w:fldCharType="end"/>
      </w:r>
      <w:r>
        <w:rPr>
          <w:color w:val="auto"/>
        </w:rPr>
        <w:fldChar w:fldCharType="end"/>
      </w:r>
    </w:p>
    <w:p>
      <w:pPr>
        <w:spacing w:before="156" w:beforeLines="50" w:after="156" w:afterLines="50" w:line="560" w:lineRule="exact"/>
        <w:jc w:val="center"/>
        <w:outlineLvl w:val="0"/>
        <w:rPr>
          <w:rFonts w:ascii="黑体" w:hAnsi="黑体" w:eastAsia="黑体" w:cs="黑体"/>
          <w:color w:val="auto"/>
          <w:sz w:val="36"/>
          <w:szCs w:val="32"/>
        </w:rPr>
      </w:pPr>
      <w:r>
        <w:rPr>
          <w:color w:val="auto"/>
        </w:rPr>
        <w:fldChar w:fldCharType="end"/>
      </w:r>
      <w:bookmarkStart w:id="0" w:name="_Toc29671"/>
      <w:bookmarkStart w:id="1" w:name="_Toc20363"/>
      <w:bookmarkStart w:id="2" w:name="_Toc15457"/>
      <w:bookmarkStart w:id="3" w:name="_Toc17184"/>
      <w:bookmarkStart w:id="4" w:name="_Toc61273513"/>
      <w:bookmarkStart w:id="5" w:name="_Toc24125"/>
      <w:bookmarkStart w:id="6" w:name="_Toc5400"/>
      <w:bookmarkStart w:id="7" w:name="_Toc16155"/>
      <w:bookmarkStart w:id="8" w:name="_Toc980"/>
      <w:bookmarkStart w:id="9" w:name="_Toc18663"/>
      <w:bookmarkStart w:id="10" w:name="_Toc9157"/>
      <w:bookmarkStart w:id="11" w:name="_Toc16020"/>
      <w:r>
        <w:rPr>
          <w:rFonts w:hint="eastAsia" w:ascii="黑体" w:hAnsi="黑体" w:eastAsia="黑体" w:cs="黑体"/>
          <w:color w:val="auto"/>
          <w:sz w:val="36"/>
          <w:szCs w:val="32"/>
        </w:rPr>
        <w:t>一、发展基础</w:t>
      </w:r>
      <w:bookmarkEnd w:id="0"/>
      <w:bookmarkEnd w:id="1"/>
      <w:bookmarkEnd w:id="2"/>
      <w:bookmarkEnd w:id="3"/>
      <w:bookmarkEnd w:id="4"/>
      <w:bookmarkEnd w:id="5"/>
      <w:bookmarkEnd w:id="6"/>
      <w:bookmarkEnd w:id="7"/>
      <w:bookmarkEnd w:id="8"/>
      <w:bookmarkEnd w:id="9"/>
      <w:bookmarkEnd w:id="10"/>
      <w:bookmarkEnd w:id="11"/>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w:t>
      </w:r>
      <w:r>
        <w:rPr>
          <w:rFonts w:hint="eastAsia" w:hAnsi="仿宋" w:eastAsia="仿宋_GB2312" w:cs="仿宋"/>
          <w:color w:val="auto"/>
          <w:sz w:val="32"/>
          <w:szCs w:val="32"/>
        </w:rPr>
        <w:t>十三五</w:t>
      </w:r>
      <w:r>
        <w:rPr>
          <w:rFonts w:hint="eastAsia" w:eastAsia="仿宋_GB2312" w:cs="仿宋"/>
          <w:color w:val="auto"/>
          <w:sz w:val="32"/>
          <w:szCs w:val="32"/>
        </w:rPr>
        <w:t>”</w:t>
      </w:r>
      <w:r>
        <w:rPr>
          <w:rFonts w:hint="eastAsia" w:hAnsi="仿宋" w:eastAsia="仿宋_GB2312" w:cs="仿宋"/>
          <w:color w:val="auto"/>
          <w:sz w:val="32"/>
          <w:szCs w:val="32"/>
        </w:rPr>
        <w:t>期间，在市委、市政府正确领导下，我市食品安全工作始终坚持以习近平新时代中国特色社会主义思想为指导，把食品安全工作提升到战略高度，以创建国家食品安全示范城市</w:t>
      </w:r>
      <w:r>
        <w:rPr>
          <w:rFonts w:hint="eastAsia" w:hAnsi="仿宋" w:eastAsia="仿宋_GB2312" w:cs="仿宋"/>
          <w:color w:val="auto"/>
          <w:sz w:val="32"/>
          <w:szCs w:val="32"/>
          <w:lang w:val="en-US" w:eastAsia="zh-CN"/>
        </w:rPr>
        <w:t>和国家农产品质量安全县</w:t>
      </w:r>
      <w:r>
        <w:rPr>
          <w:rFonts w:hint="eastAsia" w:ascii="宋体" w:hAnsi="宋体" w:eastAsia="仿宋_GB2312" w:cs="仿宋"/>
          <w:color w:val="auto"/>
          <w:sz w:val="32"/>
          <w:szCs w:val="32"/>
        </w:rPr>
        <w:t>为总抓手，整治热点难点问题，健全长效监管机制，完善治理体系，提高治理能力，</w:t>
      </w:r>
      <w:r>
        <w:rPr>
          <w:rFonts w:hint="eastAsia" w:hAnsi="仿宋" w:eastAsia="仿宋_GB2312" w:cs="仿宋"/>
          <w:color w:val="auto"/>
          <w:sz w:val="32"/>
          <w:szCs w:val="32"/>
        </w:rPr>
        <w:t>全面落实了</w:t>
      </w:r>
      <w:r>
        <w:rPr>
          <w:rFonts w:hint="eastAsia" w:eastAsia="仿宋_GB2312" w:cs="仿宋"/>
          <w:color w:val="auto"/>
          <w:sz w:val="32"/>
          <w:szCs w:val="32"/>
        </w:rPr>
        <w:t>“</w:t>
      </w:r>
      <w:r>
        <w:rPr>
          <w:rFonts w:hint="eastAsia" w:hAnsi="仿宋" w:eastAsia="仿宋_GB2312" w:cs="仿宋"/>
          <w:color w:val="auto"/>
          <w:sz w:val="32"/>
          <w:szCs w:val="32"/>
        </w:rPr>
        <w:t>四个最严</w:t>
      </w:r>
      <w:r>
        <w:rPr>
          <w:rFonts w:hint="eastAsia" w:eastAsia="仿宋_GB2312" w:cs="仿宋"/>
          <w:color w:val="auto"/>
          <w:sz w:val="32"/>
          <w:szCs w:val="32"/>
        </w:rPr>
        <w:t>”</w:t>
      </w:r>
      <w:r>
        <w:rPr>
          <w:rFonts w:hint="eastAsia" w:hAnsi="仿宋" w:eastAsia="仿宋_GB2312" w:cs="仿宋"/>
          <w:color w:val="auto"/>
          <w:sz w:val="32"/>
          <w:szCs w:val="32"/>
        </w:rPr>
        <w:t>的要求。</w:t>
      </w:r>
      <w:r>
        <w:rPr>
          <w:rFonts w:hint="eastAsia" w:eastAsia="仿宋_GB2312" w:cs="仿宋"/>
          <w:color w:val="auto"/>
          <w:sz w:val="32"/>
          <w:szCs w:val="32"/>
        </w:rPr>
        <w:t>“</w:t>
      </w:r>
      <w:r>
        <w:rPr>
          <w:rFonts w:hint="eastAsia" w:hAnsi="仿宋" w:eastAsia="仿宋_GB2312" w:cs="仿宋"/>
          <w:color w:val="auto"/>
          <w:sz w:val="32"/>
          <w:szCs w:val="32"/>
        </w:rPr>
        <w:t>十三五</w:t>
      </w:r>
      <w:r>
        <w:rPr>
          <w:rFonts w:hint="eastAsia" w:eastAsia="仿宋_GB2312" w:cs="仿宋"/>
          <w:color w:val="auto"/>
          <w:sz w:val="32"/>
          <w:szCs w:val="32"/>
        </w:rPr>
        <w:t>”</w:t>
      </w:r>
      <w:r>
        <w:rPr>
          <w:rFonts w:hint="eastAsia" w:hAnsi="仿宋" w:eastAsia="仿宋_GB2312" w:cs="仿宋"/>
          <w:color w:val="auto"/>
          <w:sz w:val="32"/>
          <w:szCs w:val="32"/>
        </w:rPr>
        <w:t>期间，我市进一步理顺了食品安全监管体制机制，着力建设了技术支撑体系和信息化体系，全面提升了食品安全监管水平，切实保障了全市人民群众食品安全，</w:t>
      </w:r>
      <w:r>
        <w:rPr>
          <w:rFonts w:hint="eastAsia" w:ascii="宋体" w:hAnsi="宋体" w:eastAsia="仿宋_GB2312" w:cs="仿宋"/>
          <w:color w:val="auto"/>
          <w:sz w:val="32"/>
          <w:szCs w:val="32"/>
        </w:rPr>
        <w:t>食品安全工作做到四个保持：形势保持稳中向好，等级事故保持零记录，年度评议考核保持全省前列，群众满意率保持</w:t>
      </w:r>
      <w:r>
        <w:rPr>
          <w:rFonts w:eastAsia="仿宋_GB2312" w:cs="仿宋"/>
          <w:color w:val="auto"/>
          <w:sz w:val="32"/>
          <w:szCs w:val="32"/>
        </w:rPr>
        <w:t>85%</w:t>
      </w:r>
      <w:r>
        <w:rPr>
          <w:rFonts w:hint="eastAsia" w:ascii="宋体" w:hAnsi="宋体" w:eastAsia="仿宋_GB2312" w:cs="仿宋"/>
          <w:color w:val="auto"/>
          <w:sz w:val="32"/>
          <w:szCs w:val="32"/>
        </w:rPr>
        <w:t>以上，</w:t>
      </w:r>
      <w:r>
        <w:rPr>
          <w:rFonts w:hint="eastAsia" w:hAnsi="仿宋" w:eastAsia="仿宋_GB2312" w:cs="仿宋"/>
          <w:color w:val="auto"/>
          <w:sz w:val="32"/>
          <w:szCs w:val="32"/>
        </w:rPr>
        <w:t>食品安全工作成效明显。食品安全工作的有序推进为赣南苏区振兴发展、实现全面小康目标提供了优质安全的环境。</w:t>
      </w:r>
      <w:r>
        <w:rPr>
          <w:rFonts w:hint="eastAsia" w:eastAsia="仿宋_GB2312" w:cs="仿宋"/>
          <w:color w:val="auto"/>
          <w:sz w:val="32"/>
          <w:szCs w:val="32"/>
        </w:rPr>
        <w:t>“</w:t>
      </w:r>
      <w:r>
        <w:rPr>
          <w:rFonts w:hint="eastAsia" w:hAnsi="仿宋" w:eastAsia="仿宋_GB2312" w:cs="仿宋"/>
          <w:color w:val="auto"/>
          <w:sz w:val="32"/>
          <w:szCs w:val="32"/>
        </w:rPr>
        <w:t>十三五</w:t>
      </w:r>
      <w:r>
        <w:rPr>
          <w:rFonts w:hint="eastAsia" w:eastAsia="仿宋_GB2312" w:cs="仿宋"/>
          <w:color w:val="auto"/>
          <w:sz w:val="32"/>
          <w:szCs w:val="32"/>
        </w:rPr>
        <w:t>”</w:t>
      </w:r>
      <w:r>
        <w:rPr>
          <w:rFonts w:hint="eastAsia" w:hAnsi="仿宋" w:eastAsia="仿宋_GB2312" w:cs="仿宋"/>
          <w:color w:val="auto"/>
          <w:sz w:val="32"/>
          <w:szCs w:val="32"/>
        </w:rPr>
        <w:t>时期主要工作成效有：</w:t>
      </w:r>
    </w:p>
    <w:p>
      <w:pPr>
        <w:spacing w:line="560" w:lineRule="exact"/>
        <w:ind w:firstLine="643" w:firstLineChars="200"/>
        <w:jc w:val="left"/>
        <w:outlineLvl w:val="1"/>
        <w:rPr>
          <w:rFonts w:ascii="楷体" w:hAnsi="楷体" w:eastAsia="楷体" w:cs="楷体"/>
          <w:b/>
          <w:bCs/>
          <w:color w:val="auto"/>
          <w:sz w:val="32"/>
          <w:szCs w:val="32"/>
        </w:rPr>
      </w:pPr>
      <w:bookmarkStart w:id="12" w:name="_Toc16880"/>
      <w:bookmarkStart w:id="13" w:name="_Toc13196"/>
      <w:bookmarkStart w:id="14" w:name="_Toc12795"/>
      <w:bookmarkStart w:id="15" w:name="_Toc11480"/>
      <w:bookmarkStart w:id="16" w:name="_Toc61273514"/>
      <w:bookmarkStart w:id="17" w:name="_Toc14226"/>
      <w:bookmarkStart w:id="18" w:name="_Toc3928"/>
      <w:bookmarkStart w:id="19" w:name="_Toc20763"/>
      <w:bookmarkStart w:id="20" w:name="_Toc27783"/>
      <w:bookmarkStart w:id="21" w:name="_Toc29305"/>
      <w:bookmarkStart w:id="22" w:name="_Toc20626"/>
      <w:bookmarkStart w:id="23" w:name="_Toc21462"/>
      <w:r>
        <w:rPr>
          <w:rFonts w:hint="eastAsia" w:ascii="楷体" w:hAnsi="楷体" w:eastAsia="楷体" w:cs="楷体"/>
          <w:b/>
          <w:bCs/>
          <w:color w:val="auto"/>
          <w:sz w:val="32"/>
          <w:szCs w:val="32"/>
        </w:rPr>
        <w:t>（一）落实党政同责</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明确了食品安全责任</w:t>
      </w:r>
      <w:bookmarkEnd w:id="12"/>
      <w:bookmarkEnd w:id="13"/>
      <w:bookmarkEnd w:id="14"/>
      <w:bookmarkEnd w:id="15"/>
      <w:bookmarkEnd w:id="16"/>
      <w:bookmarkEnd w:id="17"/>
      <w:bookmarkEnd w:id="18"/>
      <w:bookmarkEnd w:id="19"/>
      <w:bookmarkEnd w:id="20"/>
      <w:bookmarkEnd w:id="21"/>
      <w:bookmarkEnd w:id="22"/>
      <w:bookmarkEnd w:id="23"/>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“十三五”期间，我市党政领导高度重视食品安全工作。市委办、市政府办印发了《关于落实食品安全党政同责的实施意见》，意见明确了落实党政同责的</w:t>
      </w:r>
      <w:r>
        <w:rPr>
          <w:rFonts w:eastAsia="仿宋_GB2312" w:cs="仿宋"/>
          <w:color w:val="auto"/>
          <w:sz w:val="32"/>
          <w:szCs w:val="32"/>
        </w:rPr>
        <w:t>15</w:t>
      </w:r>
      <w:r>
        <w:rPr>
          <w:rFonts w:hint="eastAsia" w:eastAsia="仿宋_GB2312" w:cs="仿宋"/>
          <w:color w:val="auto"/>
          <w:sz w:val="32"/>
          <w:szCs w:val="32"/>
        </w:rPr>
        <w:t>项具体措施，建立了党委、政府研究食品安全工作制度，构建了“管行业必须管食品安全、管业务必须管食品安全”的“一岗双责”机制。健全了考评机制，将食品安全工作纳入高质量发展考评和平安赣州（综</w:t>
      </w:r>
      <w:r>
        <w:rPr>
          <w:rFonts w:hint="eastAsia" w:eastAsia="仿宋_GB2312" w:cs="仿宋"/>
          <w:color w:val="auto"/>
          <w:sz w:val="32"/>
          <w:szCs w:val="32"/>
          <w:lang w:val="en-US" w:eastAsia="zh-CN"/>
        </w:rPr>
        <w:t>治工作</w:t>
      </w:r>
      <w:r>
        <w:rPr>
          <w:rFonts w:hint="eastAsia" w:eastAsia="仿宋_GB2312" w:cs="仿宋"/>
          <w:color w:val="auto"/>
          <w:sz w:val="32"/>
          <w:szCs w:val="32"/>
        </w:rPr>
        <w:t>）考核内容并保持了较高权重列入市食安委成员单位绩效考评。通过规范考评，推动了各级党委政府和各相关部门食品安全责任的落实，形成责任压力传导机制，责任机制建设迈上了新台阶。</w:t>
      </w:r>
    </w:p>
    <w:p>
      <w:pPr>
        <w:spacing w:line="560" w:lineRule="exact"/>
        <w:ind w:firstLine="643" w:firstLineChars="200"/>
        <w:jc w:val="left"/>
        <w:outlineLvl w:val="1"/>
        <w:rPr>
          <w:rFonts w:ascii="楷体" w:hAnsi="楷体" w:eastAsia="楷体" w:cs="楷体"/>
          <w:b/>
          <w:bCs/>
          <w:color w:val="auto"/>
          <w:sz w:val="32"/>
          <w:szCs w:val="32"/>
        </w:rPr>
      </w:pPr>
      <w:bookmarkStart w:id="24" w:name="_Toc1512"/>
      <w:bookmarkStart w:id="25" w:name="_Toc27134"/>
      <w:bookmarkStart w:id="26" w:name="_Toc28493"/>
      <w:bookmarkStart w:id="27" w:name="_Toc11778"/>
      <w:bookmarkStart w:id="28" w:name="_Toc18031"/>
      <w:bookmarkStart w:id="29" w:name="_Toc2442"/>
      <w:bookmarkStart w:id="30" w:name="_Toc29539"/>
      <w:bookmarkStart w:id="31" w:name="_Toc32219"/>
      <w:bookmarkStart w:id="32" w:name="_Toc61273515"/>
      <w:bookmarkStart w:id="33" w:name="_Toc12438"/>
      <w:bookmarkStart w:id="34" w:name="_Toc9269"/>
      <w:bookmarkStart w:id="35" w:name="_Toc10284"/>
      <w:r>
        <w:rPr>
          <w:rFonts w:hint="eastAsia" w:ascii="楷体" w:hAnsi="楷体" w:eastAsia="楷体" w:cs="楷体"/>
          <w:b/>
          <w:bCs/>
          <w:color w:val="auto"/>
          <w:sz w:val="32"/>
          <w:szCs w:val="32"/>
        </w:rPr>
        <w:t>（二）理顺体制机制</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建立了全过程监管体系</w:t>
      </w:r>
      <w:bookmarkEnd w:id="24"/>
      <w:bookmarkEnd w:id="25"/>
      <w:bookmarkEnd w:id="26"/>
      <w:bookmarkEnd w:id="27"/>
      <w:bookmarkEnd w:id="28"/>
      <w:bookmarkEnd w:id="29"/>
      <w:bookmarkEnd w:id="30"/>
      <w:bookmarkEnd w:id="31"/>
      <w:bookmarkEnd w:id="32"/>
      <w:bookmarkEnd w:id="33"/>
      <w:bookmarkEnd w:id="34"/>
      <w:bookmarkEnd w:id="35"/>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食品安全关系到人民身体健康和生命安全，涉及社会和谐稳定，监管部门责任重大。“十三五”期间，进一步理顺了食品安全监管体制机制，整合了食品安全监管力量，全过程监管体系基本建立，实现了食品安全从农田到餐桌的全程监督和无缝监管。随着机构改革的实施，我市建立了市、县、乡三级监管队伍，进一步夯实了基层监管力量，为食品安全工作快速反应提供了体制机制的保障。</w:t>
      </w:r>
    </w:p>
    <w:p>
      <w:pPr>
        <w:spacing w:line="560" w:lineRule="exact"/>
        <w:ind w:firstLine="643" w:firstLineChars="200"/>
        <w:jc w:val="left"/>
        <w:outlineLvl w:val="1"/>
        <w:rPr>
          <w:rFonts w:ascii="楷体" w:hAnsi="楷体" w:eastAsia="楷体" w:cs="楷体"/>
          <w:b/>
          <w:bCs/>
          <w:color w:val="auto"/>
          <w:sz w:val="32"/>
          <w:szCs w:val="32"/>
        </w:rPr>
      </w:pPr>
      <w:bookmarkStart w:id="36" w:name="_Toc22258"/>
      <w:bookmarkStart w:id="37" w:name="_Toc14029"/>
      <w:bookmarkStart w:id="38" w:name="_Toc61273516"/>
      <w:bookmarkStart w:id="39" w:name="_Toc22876"/>
      <w:bookmarkStart w:id="40" w:name="_Toc31898"/>
      <w:bookmarkStart w:id="41" w:name="_Toc8061"/>
      <w:bookmarkStart w:id="42" w:name="_Toc13740"/>
      <w:bookmarkStart w:id="43" w:name="_Toc20188"/>
      <w:bookmarkStart w:id="44" w:name="_Toc23623"/>
      <w:bookmarkStart w:id="45" w:name="_Toc13091"/>
      <w:bookmarkStart w:id="46" w:name="_Toc341"/>
      <w:bookmarkStart w:id="47" w:name="_Toc17627"/>
      <w:r>
        <w:rPr>
          <w:rFonts w:hint="eastAsia" w:ascii="楷体" w:hAnsi="楷体" w:eastAsia="楷体" w:cs="楷体"/>
          <w:b/>
          <w:bCs/>
          <w:color w:val="auto"/>
          <w:sz w:val="32"/>
          <w:szCs w:val="32"/>
        </w:rPr>
        <w:t>（三）秉持质效并重</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促进了食品产业快速发展</w:t>
      </w:r>
      <w:bookmarkEnd w:id="36"/>
      <w:bookmarkEnd w:id="37"/>
      <w:bookmarkEnd w:id="38"/>
      <w:bookmarkEnd w:id="39"/>
      <w:bookmarkEnd w:id="40"/>
      <w:bookmarkEnd w:id="41"/>
      <w:bookmarkEnd w:id="42"/>
      <w:bookmarkEnd w:id="43"/>
      <w:bookmarkEnd w:id="44"/>
      <w:bookmarkEnd w:id="45"/>
      <w:bookmarkEnd w:id="46"/>
      <w:bookmarkEnd w:id="47"/>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秉持食品产业质量、效益、品牌并重的理念，积极引导食品生产经营者通过加大投入、改造食品生产经营设施设备、加强品牌建设等方式，实现了“质量出效益、品牌促发展”的良性互动，促进了食品产业快速发展，加快了食品产业高质量发展的步伐。</w:t>
      </w:r>
      <w:r>
        <w:rPr>
          <w:rFonts w:hint="eastAsia" w:eastAsia="仿宋_GB2312" w:cs="仿宋"/>
          <w:color w:val="auto"/>
          <w:sz w:val="32"/>
          <w:szCs w:val="32"/>
          <w:highlight w:val="none"/>
        </w:rPr>
        <w:t>“十三五”末，我市获得许可证的食品生产企业</w:t>
      </w:r>
      <w:r>
        <w:rPr>
          <w:rFonts w:hint="default" w:eastAsia="仿宋_GB2312" w:cs="仿宋"/>
          <w:color w:val="auto"/>
          <w:sz w:val="32"/>
          <w:szCs w:val="32"/>
          <w:highlight w:val="none"/>
          <w:lang w:val="en"/>
        </w:rPr>
        <w:t>586</w:t>
      </w:r>
      <w:r>
        <w:rPr>
          <w:rFonts w:hint="eastAsia" w:eastAsia="仿宋_GB2312" w:cs="仿宋"/>
          <w:color w:val="auto"/>
          <w:sz w:val="32"/>
          <w:szCs w:val="32"/>
          <w:highlight w:val="none"/>
        </w:rPr>
        <w:t>家，</w:t>
      </w:r>
      <w:r>
        <w:rPr>
          <w:rFonts w:hint="eastAsia" w:eastAsia="仿宋_GB2312" w:cs="仿宋"/>
          <w:color w:val="auto"/>
          <w:sz w:val="32"/>
          <w:szCs w:val="32"/>
          <w:highlight w:val="none"/>
          <w:lang w:val="en-US" w:eastAsia="zh-CN"/>
        </w:rPr>
        <w:t>食品</w:t>
      </w:r>
      <w:r>
        <w:rPr>
          <w:rFonts w:hint="eastAsia" w:eastAsia="仿宋_GB2312" w:cs="仿宋"/>
          <w:color w:val="auto"/>
          <w:sz w:val="32"/>
          <w:szCs w:val="32"/>
          <w:highlight w:val="none"/>
        </w:rPr>
        <w:t>销售单位55882家，餐饮服务单位34360家。通过设立专</w:t>
      </w:r>
      <w:r>
        <w:rPr>
          <w:rFonts w:hint="eastAsia" w:eastAsia="仿宋_GB2312" w:cs="仿宋"/>
          <w:color w:val="auto"/>
          <w:sz w:val="32"/>
          <w:szCs w:val="32"/>
        </w:rPr>
        <w:t>项补助资金，助力企业品牌发展，大力培育绿色、有机</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无公害</w:t>
      </w:r>
      <w:r>
        <w:rPr>
          <w:rFonts w:hint="eastAsia" w:eastAsia="仿宋_GB2312" w:cs="仿宋"/>
          <w:color w:val="auto"/>
          <w:sz w:val="32"/>
          <w:szCs w:val="32"/>
        </w:rPr>
        <w:t>和地理标志食品（含农产品），建立赣州市地理标志商标培育库，全市</w:t>
      </w:r>
      <w:r>
        <w:rPr>
          <w:rFonts w:eastAsia="仿宋_GB2312" w:cs="仿宋"/>
          <w:color w:val="auto"/>
          <w:sz w:val="32"/>
          <w:szCs w:val="32"/>
        </w:rPr>
        <w:t>“</w:t>
      </w:r>
      <w:r>
        <w:rPr>
          <w:rFonts w:hint="eastAsia" w:eastAsia="仿宋_GB2312" w:cs="仿宋"/>
          <w:color w:val="auto"/>
          <w:sz w:val="32"/>
          <w:szCs w:val="32"/>
        </w:rPr>
        <w:t>三品一标</w:t>
      </w:r>
      <w:r>
        <w:rPr>
          <w:rFonts w:eastAsia="仿宋_GB2312" w:cs="仿宋"/>
          <w:color w:val="auto"/>
          <w:sz w:val="32"/>
          <w:szCs w:val="32"/>
        </w:rPr>
        <w:t>”</w:t>
      </w:r>
      <w:r>
        <w:rPr>
          <w:rFonts w:hint="eastAsia" w:eastAsia="仿宋_GB2312" w:cs="仿宋"/>
          <w:color w:val="auto"/>
          <w:sz w:val="32"/>
          <w:szCs w:val="32"/>
        </w:rPr>
        <w:t>食品数量达</w:t>
      </w:r>
      <w:r>
        <w:rPr>
          <w:rFonts w:hint="eastAsia" w:eastAsia="仿宋_GB2312" w:cs="仿宋"/>
          <w:color w:val="auto"/>
          <w:sz w:val="32"/>
          <w:szCs w:val="32"/>
          <w:lang w:val="en-US" w:eastAsia="zh-CN"/>
        </w:rPr>
        <w:t>600</w:t>
      </w:r>
      <w:r>
        <w:rPr>
          <w:rFonts w:hint="eastAsia" w:eastAsia="仿宋_GB2312" w:cs="仿宋"/>
          <w:color w:val="auto"/>
          <w:sz w:val="32"/>
          <w:szCs w:val="32"/>
        </w:rPr>
        <w:t>个。赣南脐橙、寻乌蜜桔、宁都黄鸡、武夷源茶叶、南安板鸭被认定为中国驰名商标；赣南茶油等</w:t>
      </w:r>
      <w:r>
        <w:rPr>
          <w:rFonts w:eastAsia="仿宋_GB2312" w:cs="仿宋"/>
          <w:color w:val="auto"/>
          <w:sz w:val="32"/>
          <w:szCs w:val="32"/>
        </w:rPr>
        <w:t>29</w:t>
      </w:r>
      <w:r>
        <w:rPr>
          <w:rFonts w:hint="eastAsia" w:eastAsia="仿宋_GB2312" w:cs="仿宋"/>
          <w:color w:val="auto"/>
          <w:sz w:val="32"/>
          <w:szCs w:val="32"/>
        </w:rPr>
        <w:t>件商标核准注册为地理标志商标；会昌桔柚等</w:t>
      </w:r>
      <w:r>
        <w:rPr>
          <w:rFonts w:eastAsia="仿宋_GB2312" w:cs="仿宋"/>
          <w:color w:val="auto"/>
          <w:sz w:val="32"/>
          <w:szCs w:val="32"/>
        </w:rPr>
        <w:t>12</w:t>
      </w:r>
      <w:r>
        <w:rPr>
          <w:rFonts w:hint="eastAsia" w:eastAsia="仿宋_GB2312" w:cs="仿宋"/>
          <w:color w:val="auto"/>
          <w:sz w:val="32"/>
          <w:szCs w:val="32"/>
        </w:rPr>
        <w:t>个产品获批国家地理标志保护产品；五丰米粉等</w:t>
      </w:r>
      <w:r>
        <w:rPr>
          <w:rFonts w:eastAsia="仿宋_GB2312" w:cs="仿宋"/>
          <w:color w:val="auto"/>
          <w:sz w:val="32"/>
          <w:szCs w:val="32"/>
        </w:rPr>
        <w:t>25</w:t>
      </w:r>
      <w:r>
        <w:rPr>
          <w:rFonts w:hint="eastAsia" w:eastAsia="仿宋_GB2312" w:cs="仿宋"/>
          <w:color w:val="auto"/>
          <w:sz w:val="32"/>
          <w:szCs w:val="32"/>
        </w:rPr>
        <w:t>个产品被评为全省名牌产品。</w:t>
      </w:r>
    </w:p>
    <w:p>
      <w:pPr>
        <w:spacing w:line="560" w:lineRule="exact"/>
        <w:ind w:firstLine="643" w:firstLineChars="200"/>
        <w:outlineLvl w:val="1"/>
        <w:rPr>
          <w:rFonts w:ascii="楷体" w:hAnsi="楷体" w:eastAsia="楷体" w:cs="楷体"/>
          <w:b/>
          <w:bCs/>
          <w:color w:val="auto"/>
          <w:sz w:val="32"/>
          <w:szCs w:val="32"/>
        </w:rPr>
      </w:pPr>
      <w:bookmarkStart w:id="48" w:name="_Toc17403"/>
      <w:bookmarkStart w:id="49" w:name="_Toc16101"/>
      <w:bookmarkStart w:id="50" w:name="_Toc24424"/>
      <w:bookmarkStart w:id="51" w:name="_Toc13834"/>
      <w:bookmarkStart w:id="52" w:name="_Toc23809"/>
      <w:bookmarkStart w:id="53" w:name="_Toc15215"/>
      <w:bookmarkStart w:id="54" w:name="_Toc27494"/>
      <w:bookmarkStart w:id="55" w:name="_Toc30364"/>
      <w:bookmarkStart w:id="56" w:name="_Toc17139"/>
      <w:bookmarkStart w:id="57" w:name="_Toc12177"/>
      <w:bookmarkStart w:id="58" w:name="_Toc23438"/>
      <w:r>
        <w:rPr>
          <w:rFonts w:hint="eastAsia" w:ascii="楷体" w:hAnsi="楷体" w:eastAsia="楷体" w:cs="楷体"/>
          <w:b/>
          <w:bCs/>
          <w:color w:val="auto"/>
          <w:sz w:val="32"/>
          <w:szCs w:val="32"/>
        </w:rPr>
        <w:t>（四）严格标准执行</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维护了食品安全标准强制性</w:t>
      </w:r>
      <w:bookmarkEnd w:id="48"/>
      <w:bookmarkEnd w:id="49"/>
      <w:bookmarkEnd w:id="50"/>
      <w:bookmarkEnd w:id="51"/>
      <w:bookmarkEnd w:id="52"/>
      <w:bookmarkEnd w:id="53"/>
      <w:bookmarkEnd w:id="54"/>
      <w:bookmarkEnd w:id="55"/>
      <w:bookmarkEnd w:id="56"/>
      <w:bookmarkEnd w:id="57"/>
      <w:bookmarkEnd w:id="58"/>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始终坚持以“最严谨的标准”，加大了对食品安全标准解释、宣传贯彻和培训力度。通过学习宣贯、食品抽检等方式，督促食品生产经营者准确理解和应用食品安全标准，同时对食品安全标准的使用进行了跟踪评价，对抽检发现的不合格食品</w:t>
      </w:r>
      <w:r>
        <w:rPr>
          <w:rFonts w:eastAsia="仿宋_GB2312" w:cs="仿宋"/>
          <w:color w:val="auto"/>
          <w:sz w:val="32"/>
          <w:szCs w:val="32"/>
        </w:rPr>
        <w:t>100%</w:t>
      </w:r>
      <w:r>
        <w:rPr>
          <w:rFonts w:hint="eastAsia" w:eastAsia="仿宋_GB2312" w:cs="仿宋"/>
          <w:color w:val="auto"/>
          <w:sz w:val="32"/>
          <w:szCs w:val="32"/>
        </w:rPr>
        <w:t>处置到位，充分发挥了食品安全标准保障食品安全、促进产业发展的基础作用，维护了食品安全标准的强制性。“十三五”期间，我市结合地方特色，成立了江西省茶油及制品标准化技术委员会，主持制定了江西省首个茶油地方标准，发布标准</w:t>
      </w:r>
      <w:r>
        <w:rPr>
          <w:rFonts w:eastAsia="仿宋_GB2312" w:cs="仿宋"/>
          <w:color w:val="auto"/>
          <w:sz w:val="32"/>
          <w:szCs w:val="32"/>
        </w:rPr>
        <w:t>7</w:t>
      </w:r>
      <w:r>
        <w:rPr>
          <w:rFonts w:hint="eastAsia" w:eastAsia="仿宋_GB2312" w:cs="仿宋"/>
          <w:color w:val="auto"/>
          <w:sz w:val="32"/>
          <w:szCs w:val="32"/>
        </w:rPr>
        <w:t>项，正在制修订标准</w:t>
      </w:r>
      <w:r>
        <w:rPr>
          <w:rFonts w:eastAsia="仿宋_GB2312" w:cs="仿宋"/>
          <w:color w:val="auto"/>
          <w:sz w:val="32"/>
          <w:szCs w:val="32"/>
        </w:rPr>
        <w:t>17</w:t>
      </w:r>
      <w:r>
        <w:rPr>
          <w:rFonts w:hint="eastAsia" w:eastAsia="仿宋_GB2312" w:cs="仿宋"/>
          <w:color w:val="auto"/>
          <w:sz w:val="32"/>
          <w:szCs w:val="32"/>
        </w:rPr>
        <w:t>项。同时，与科研院所合作，指导</w:t>
      </w:r>
      <w:r>
        <w:rPr>
          <w:rFonts w:hint="eastAsia" w:eastAsia="仿宋_GB2312" w:cs="仿宋"/>
          <w:color w:val="auto"/>
          <w:sz w:val="32"/>
          <w:szCs w:val="32"/>
          <w:lang w:val="en-US" w:eastAsia="zh-CN"/>
        </w:rPr>
        <w:t>茶油</w:t>
      </w:r>
      <w:r>
        <w:rPr>
          <w:rFonts w:hint="eastAsia" w:eastAsia="仿宋_GB2312" w:cs="仿宋"/>
          <w:color w:val="auto"/>
          <w:sz w:val="32"/>
          <w:szCs w:val="32"/>
        </w:rPr>
        <w:t>企业技术研发、研制标准，促科研成果转技术标准，帮助企业解决了茶油生产加工技术难题，推动了</w:t>
      </w:r>
      <w:r>
        <w:rPr>
          <w:rFonts w:eastAsia="仿宋_GB2312" w:cs="仿宋"/>
          <w:color w:val="auto"/>
          <w:sz w:val="32"/>
          <w:szCs w:val="32"/>
        </w:rPr>
        <w:t>“</w:t>
      </w:r>
      <w:r>
        <w:rPr>
          <w:rFonts w:hint="eastAsia" w:eastAsia="仿宋_GB2312" w:cs="仿宋"/>
          <w:color w:val="auto"/>
          <w:sz w:val="32"/>
          <w:szCs w:val="32"/>
        </w:rPr>
        <w:t>赣南茶油</w:t>
      </w:r>
      <w:r>
        <w:rPr>
          <w:rFonts w:eastAsia="仿宋_GB2312" w:cs="仿宋"/>
          <w:color w:val="auto"/>
          <w:sz w:val="32"/>
          <w:szCs w:val="32"/>
        </w:rPr>
        <w:t>”</w:t>
      </w:r>
      <w:r>
        <w:rPr>
          <w:rFonts w:hint="eastAsia" w:eastAsia="仿宋_GB2312" w:cs="仿宋"/>
          <w:color w:val="auto"/>
          <w:sz w:val="32"/>
          <w:szCs w:val="32"/>
        </w:rPr>
        <w:t>在产业链上的价值提升。</w:t>
      </w:r>
    </w:p>
    <w:p>
      <w:pPr>
        <w:spacing w:line="560" w:lineRule="exact"/>
        <w:ind w:firstLine="643" w:firstLineChars="200"/>
        <w:outlineLvl w:val="1"/>
        <w:rPr>
          <w:rFonts w:ascii="楷体" w:hAnsi="楷体" w:eastAsia="楷体" w:cs="楷体"/>
          <w:b/>
          <w:bCs/>
          <w:color w:val="auto"/>
          <w:sz w:val="32"/>
          <w:szCs w:val="32"/>
        </w:rPr>
      </w:pPr>
      <w:bookmarkStart w:id="59" w:name="_Toc30204"/>
      <w:bookmarkStart w:id="60" w:name="_Toc27195"/>
      <w:bookmarkStart w:id="61" w:name="_Toc19440"/>
      <w:bookmarkStart w:id="62" w:name="_Toc32346"/>
      <w:bookmarkStart w:id="63" w:name="_Toc26374"/>
      <w:bookmarkStart w:id="64" w:name="_Toc6664"/>
      <w:bookmarkStart w:id="65" w:name="_Toc11348"/>
      <w:bookmarkStart w:id="66" w:name="_Toc32598"/>
      <w:bookmarkStart w:id="67" w:name="_Toc21862"/>
      <w:bookmarkStart w:id="68" w:name="_Toc19622"/>
      <w:bookmarkStart w:id="69" w:name="_Toc30960"/>
      <w:r>
        <w:rPr>
          <w:rFonts w:hint="eastAsia" w:ascii="楷体" w:hAnsi="楷体" w:eastAsia="楷体" w:cs="楷体"/>
          <w:b/>
          <w:bCs/>
          <w:color w:val="auto"/>
          <w:sz w:val="32"/>
          <w:szCs w:val="32"/>
        </w:rPr>
        <w:t>（五）提高检测能力</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强化了食品安全技术支撑</w:t>
      </w:r>
      <w:bookmarkEnd w:id="59"/>
      <w:bookmarkEnd w:id="60"/>
      <w:bookmarkEnd w:id="61"/>
      <w:bookmarkEnd w:id="62"/>
      <w:bookmarkEnd w:id="63"/>
      <w:bookmarkEnd w:id="64"/>
      <w:bookmarkEnd w:id="65"/>
      <w:bookmarkEnd w:id="66"/>
      <w:bookmarkEnd w:id="67"/>
      <w:bookmarkEnd w:id="68"/>
      <w:bookmarkEnd w:id="69"/>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“十三五”期间，我市食品安全抽检经费保障有力，</w:t>
      </w:r>
      <w:r>
        <w:rPr>
          <w:rFonts w:eastAsia="仿宋_GB2312" w:cs="仿宋"/>
          <w:color w:val="auto"/>
          <w:sz w:val="32"/>
          <w:szCs w:val="32"/>
        </w:rPr>
        <w:t>2017</w:t>
      </w:r>
      <w:r>
        <w:rPr>
          <w:rFonts w:hint="eastAsia" w:eastAsia="仿宋_GB2312" w:cs="仿宋"/>
          <w:color w:val="auto"/>
          <w:sz w:val="32"/>
          <w:szCs w:val="32"/>
        </w:rPr>
        <w:t>年以来累计拨付食品抽检专项经费</w:t>
      </w:r>
      <w:r>
        <w:rPr>
          <w:rFonts w:eastAsia="仿宋_GB2312" w:cs="仿宋"/>
          <w:color w:val="auto"/>
          <w:sz w:val="32"/>
          <w:szCs w:val="32"/>
        </w:rPr>
        <w:t>1.5</w:t>
      </w:r>
      <w:r>
        <w:rPr>
          <w:rFonts w:hint="eastAsia" w:eastAsia="仿宋_GB2312" w:cs="仿宋"/>
          <w:color w:val="auto"/>
          <w:sz w:val="32"/>
          <w:szCs w:val="32"/>
        </w:rPr>
        <w:t>亿元，助力我市食品检测能力取得新突破。</w:t>
      </w:r>
      <w:r>
        <w:rPr>
          <w:rFonts w:hint="eastAsia" w:eastAsia="仿宋_GB2312"/>
          <w:color w:val="auto"/>
          <w:sz w:val="32"/>
          <w:szCs w:val="32"/>
        </w:rPr>
        <w:t>“十三五”期间，市食品药品</w:t>
      </w:r>
      <w:r>
        <w:rPr>
          <w:rFonts w:hint="eastAsia" w:eastAsia="仿宋_GB2312"/>
          <w:color w:val="auto"/>
          <w:sz w:val="32"/>
          <w:szCs w:val="32"/>
          <w:lang w:eastAsia="zh-CN"/>
        </w:rPr>
        <w:t>检验</w:t>
      </w:r>
      <w:r>
        <w:rPr>
          <w:rFonts w:hint="eastAsia" w:eastAsia="仿宋_GB2312"/>
          <w:color w:val="auto"/>
          <w:sz w:val="32"/>
          <w:szCs w:val="32"/>
        </w:rPr>
        <w:t>检测中心</w:t>
      </w:r>
      <w:r>
        <w:rPr>
          <w:rFonts w:hint="eastAsia" w:eastAsia="仿宋_GB2312"/>
          <w:color w:val="auto"/>
          <w:sz w:val="32"/>
          <w:szCs w:val="32"/>
          <w:lang w:eastAsia="zh-CN"/>
        </w:rPr>
        <w:t>的</w:t>
      </w:r>
      <w:r>
        <w:rPr>
          <w:rFonts w:hint="eastAsia" w:eastAsia="仿宋_GB2312"/>
          <w:color w:val="auto"/>
          <w:sz w:val="32"/>
          <w:szCs w:val="32"/>
        </w:rPr>
        <w:t>检验资质由413项提升到</w:t>
      </w:r>
      <w:r>
        <w:rPr>
          <w:rFonts w:hint="eastAsia" w:eastAsia="仿宋_GB2312"/>
          <w:color w:val="auto"/>
          <w:sz w:val="32"/>
          <w:szCs w:val="32"/>
          <w:lang w:val="en-US" w:eastAsia="zh-CN"/>
        </w:rPr>
        <w:t>1227</w:t>
      </w:r>
      <w:r>
        <w:rPr>
          <w:rFonts w:hint="eastAsia" w:eastAsia="仿宋_GB2312"/>
          <w:color w:val="auto"/>
          <w:sz w:val="32"/>
          <w:szCs w:val="32"/>
        </w:rPr>
        <w:t>项</w:t>
      </w:r>
      <w:r>
        <w:rPr>
          <w:rFonts w:hint="eastAsia" w:eastAsia="仿宋_GB2312"/>
          <w:color w:val="auto"/>
          <w:sz w:val="32"/>
          <w:szCs w:val="32"/>
          <w:lang w:eastAsia="zh-CN"/>
        </w:rPr>
        <w:t>，</w:t>
      </w:r>
      <w:r>
        <w:rPr>
          <w:rFonts w:hint="eastAsia" w:eastAsia="仿宋_GB2312"/>
          <w:color w:val="auto"/>
          <w:sz w:val="32"/>
          <w:szCs w:val="32"/>
        </w:rPr>
        <w:t>食品年检验量由每年</w:t>
      </w:r>
      <w:r>
        <w:rPr>
          <w:rFonts w:eastAsia="仿宋_GB2312"/>
          <w:color w:val="auto"/>
          <w:sz w:val="32"/>
          <w:szCs w:val="32"/>
        </w:rPr>
        <w:t>1900</w:t>
      </w:r>
      <w:r>
        <w:rPr>
          <w:rFonts w:hint="eastAsia" w:eastAsia="仿宋_GB2312"/>
          <w:color w:val="auto"/>
          <w:sz w:val="32"/>
          <w:szCs w:val="32"/>
        </w:rPr>
        <w:t>提升到</w:t>
      </w:r>
      <w:r>
        <w:rPr>
          <w:rFonts w:eastAsia="仿宋_GB2312"/>
          <w:color w:val="auto"/>
          <w:sz w:val="32"/>
          <w:szCs w:val="32"/>
        </w:rPr>
        <w:t>10000</w:t>
      </w:r>
      <w:r>
        <w:rPr>
          <w:rFonts w:hint="eastAsia" w:eastAsia="仿宋_GB2312"/>
          <w:color w:val="auto"/>
          <w:sz w:val="32"/>
          <w:szCs w:val="32"/>
        </w:rPr>
        <w:t>批次；完成了龙南</w:t>
      </w:r>
      <w:r>
        <w:rPr>
          <w:rFonts w:hint="eastAsia" w:eastAsia="仿宋_GB2312"/>
          <w:color w:val="auto"/>
          <w:sz w:val="32"/>
          <w:szCs w:val="32"/>
          <w:lang w:eastAsia="zh-CN"/>
        </w:rPr>
        <w:t>、安远、</w:t>
      </w:r>
      <w:r>
        <w:rPr>
          <w:rFonts w:hint="eastAsia" w:eastAsia="仿宋_GB2312"/>
          <w:color w:val="auto"/>
          <w:sz w:val="32"/>
          <w:szCs w:val="32"/>
        </w:rPr>
        <w:t>瑞金</w:t>
      </w:r>
      <w:r>
        <w:rPr>
          <w:rFonts w:hint="eastAsia" w:eastAsia="仿宋_GB2312"/>
          <w:color w:val="auto"/>
          <w:sz w:val="32"/>
          <w:szCs w:val="32"/>
          <w:lang w:val="en-US" w:eastAsia="zh-CN"/>
        </w:rPr>
        <w:t>3</w:t>
      </w:r>
      <w:r>
        <w:rPr>
          <w:rFonts w:hint="eastAsia" w:eastAsia="仿宋_GB2312"/>
          <w:color w:val="auto"/>
          <w:sz w:val="32"/>
          <w:szCs w:val="32"/>
        </w:rPr>
        <w:t>个区域性食品检验</w:t>
      </w:r>
      <w:r>
        <w:rPr>
          <w:rFonts w:hint="eastAsia" w:eastAsia="仿宋_GB2312"/>
          <w:color w:val="auto"/>
          <w:sz w:val="32"/>
          <w:szCs w:val="32"/>
          <w:lang w:eastAsia="zh-CN"/>
        </w:rPr>
        <w:t>检测</w:t>
      </w:r>
      <w:r>
        <w:rPr>
          <w:rFonts w:hint="eastAsia" w:eastAsia="仿宋_GB2312"/>
          <w:color w:val="auto"/>
          <w:sz w:val="32"/>
          <w:szCs w:val="32"/>
        </w:rPr>
        <w:t>机构中心的建设</w:t>
      </w:r>
      <w:r>
        <w:rPr>
          <w:rFonts w:hint="eastAsia" w:eastAsia="仿宋_GB2312"/>
          <w:color w:val="auto"/>
          <w:sz w:val="32"/>
          <w:szCs w:val="32"/>
          <w:lang w:eastAsia="zh-CN"/>
        </w:rPr>
        <w:t>。</w:t>
      </w:r>
      <w:r>
        <w:rPr>
          <w:rFonts w:hint="eastAsia" w:eastAsia="仿宋_GB2312"/>
          <w:color w:val="auto"/>
          <w:sz w:val="32"/>
          <w:szCs w:val="32"/>
        </w:rPr>
        <w:t>市县加大农贸市场食品检验快检室建设力度，共建成县区中心农贸市场食品快检室</w:t>
      </w:r>
      <w:r>
        <w:rPr>
          <w:rFonts w:hint="eastAsia" w:eastAsia="仿宋_GB2312"/>
          <w:color w:val="auto"/>
          <w:sz w:val="32"/>
          <w:szCs w:val="32"/>
          <w:lang w:val="en-US" w:eastAsia="zh-CN"/>
        </w:rPr>
        <w:t>139</w:t>
      </w:r>
      <w:r>
        <w:rPr>
          <w:rFonts w:hint="eastAsia" w:eastAsia="仿宋_GB2312"/>
          <w:color w:val="auto"/>
          <w:sz w:val="32"/>
          <w:szCs w:val="32"/>
        </w:rPr>
        <w:t>个</w:t>
      </w:r>
      <w:r>
        <w:rPr>
          <w:rFonts w:hint="eastAsia" w:eastAsia="仿宋_GB2312"/>
          <w:color w:val="auto"/>
          <w:sz w:val="32"/>
          <w:szCs w:val="32"/>
          <w:lang w:eastAsia="zh-CN"/>
        </w:rPr>
        <w:t>、超市</w:t>
      </w:r>
      <w:r>
        <w:rPr>
          <w:rFonts w:hint="eastAsia" w:eastAsia="仿宋_GB2312"/>
          <w:color w:val="auto"/>
          <w:sz w:val="32"/>
          <w:szCs w:val="32"/>
        </w:rPr>
        <w:t>快检室</w:t>
      </w:r>
      <w:r>
        <w:rPr>
          <w:rFonts w:hint="eastAsia" w:eastAsia="仿宋_GB2312"/>
          <w:color w:val="auto"/>
          <w:sz w:val="32"/>
          <w:szCs w:val="32"/>
          <w:lang w:val="en-US" w:eastAsia="zh-CN"/>
        </w:rPr>
        <w:t>20个，</w:t>
      </w:r>
      <w:r>
        <w:rPr>
          <w:rFonts w:hint="eastAsia" w:eastAsia="仿宋_GB2312"/>
          <w:color w:val="auto"/>
          <w:sz w:val="32"/>
          <w:szCs w:val="32"/>
        </w:rPr>
        <w:t>形成了市食品检测中心为龙头，龙南、</w:t>
      </w:r>
      <w:r>
        <w:rPr>
          <w:rFonts w:hint="eastAsia" w:eastAsia="仿宋_GB2312"/>
          <w:color w:val="auto"/>
          <w:sz w:val="32"/>
          <w:szCs w:val="32"/>
          <w:lang w:eastAsia="zh-CN"/>
        </w:rPr>
        <w:t>安远、</w:t>
      </w:r>
      <w:r>
        <w:rPr>
          <w:rFonts w:hint="eastAsia" w:eastAsia="仿宋_GB2312"/>
          <w:color w:val="auto"/>
          <w:sz w:val="32"/>
          <w:szCs w:val="32"/>
        </w:rPr>
        <w:t>瑞金等区域检验检测中心为骨干，各县快检车和市场、超市快检室为基础的食品和食用农产品检测网络。“十三五”末，</w:t>
      </w:r>
      <w:r>
        <w:rPr>
          <w:rFonts w:hint="default" w:eastAsia="仿宋_GB2312"/>
          <w:color w:val="auto"/>
          <w:sz w:val="32"/>
          <w:szCs w:val="32"/>
          <w:lang w:val="en"/>
        </w:rPr>
        <w:t>全</w:t>
      </w:r>
      <w:r>
        <w:rPr>
          <w:rFonts w:hint="eastAsia" w:eastAsia="仿宋_GB2312"/>
          <w:color w:val="auto"/>
          <w:sz w:val="32"/>
          <w:szCs w:val="32"/>
        </w:rPr>
        <w:t>市</w:t>
      </w:r>
      <w:r>
        <w:rPr>
          <w:rFonts w:hint="eastAsia" w:eastAsia="仿宋_GB2312"/>
          <w:color w:val="auto"/>
          <w:sz w:val="32"/>
          <w:szCs w:val="32"/>
          <w:lang w:eastAsia="zh-CN"/>
        </w:rPr>
        <w:t>可承载</w:t>
      </w:r>
      <w:r>
        <w:rPr>
          <w:rFonts w:hint="eastAsia" w:eastAsia="仿宋_GB2312"/>
          <w:color w:val="auto"/>
          <w:sz w:val="32"/>
          <w:szCs w:val="32"/>
        </w:rPr>
        <w:t>食品检验</w:t>
      </w:r>
      <w:r>
        <w:rPr>
          <w:rFonts w:hint="eastAsia" w:eastAsia="仿宋_GB2312"/>
          <w:color w:val="auto"/>
          <w:sz w:val="32"/>
          <w:szCs w:val="32"/>
          <w:lang w:eastAsia="zh-CN"/>
        </w:rPr>
        <w:t>检测量</w:t>
      </w:r>
      <w:r>
        <w:rPr>
          <w:rFonts w:hint="eastAsia" w:eastAsia="仿宋_GB2312"/>
          <w:color w:val="auto"/>
          <w:sz w:val="32"/>
          <w:szCs w:val="32"/>
        </w:rPr>
        <w:t>达</w:t>
      </w:r>
      <w:r>
        <w:rPr>
          <w:rFonts w:hint="eastAsia" w:eastAsia="仿宋_GB2312"/>
          <w:color w:val="auto"/>
          <w:sz w:val="32"/>
          <w:szCs w:val="32"/>
          <w:lang w:eastAsia="zh-CN"/>
        </w:rPr>
        <w:t>到</w:t>
      </w:r>
      <w:r>
        <w:rPr>
          <w:rFonts w:hint="default" w:ascii="Times New Roman" w:hAnsi="Times New Roman" w:eastAsia="仿宋_GB2312" w:cs="Times New Roman"/>
          <w:color w:val="auto"/>
          <w:sz w:val="32"/>
          <w:szCs w:val="32"/>
          <w:lang w:val="en-US" w:eastAsia="zh-CN"/>
        </w:rPr>
        <w:t xml:space="preserve"> 2.8 </w:t>
      </w:r>
      <w:r>
        <w:rPr>
          <w:rFonts w:hint="eastAsia" w:eastAsia="仿宋_GB2312"/>
          <w:color w:val="auto"/>
          <w:sz w:val="32"/>
          <w:szCs w:val="32"/>
        </w:rPr>
        <w:t>万批次，食品检验</w:t>
      </w:r>
      <w:r>
        <w:rPr>
          <w:rFonts w:hint="eastAsia" w:eastAsia="仿宋_GB2312"/>
          <w:color w:val="auto"/>
          <w:sz w:val="32"/>
          <w:szCs w:val="32"/>
          <w:lang w:eastAsia="zh-CN"/>
        </w:rPr>
        <w:t>检测资质项目</w:t>
      </w:r>
      <w:r>
        <w:rPr>
          <w:rFonts w:hint="eastAsia" w:eastAsia="仿宋_GB2312"/>
          <w:color w:val="auto"/>
          <w:sz w:val="32"/>
          <w:szCs w:val="32"/>
        </w:rPr>
        <w:t>达</w:t>
      </w:r>
      <w:r>
        <w:rPr>
          <w:rFonts w:hint="default" w:ascii="Times New Roman" w:hAnsi="Times New Roman"/>
          <w:color w:val="auto"/>
          <w:sz w:val="32"/>
          <w:szCs w:val="32"/>
        </w:rPr>
        <w:t>90%</w:t>
      </w:r>
      <w:r>
        <w:rPr>
          <w:rFonts w:hint="eastAsia" w:ascii="仿宋" w:hAnsi="仿宋"/>
          <w:color w:val="auto"/>
          <w:sz w:val="32"/>
          <w:szCs w:val="32"/>
          <w:lang w:eastAsia="zh-CN"/>
        </w:rPr>
        <w:t>。</w:t>
      </w:r>
      <w:r>
        <w:rPr>
          <w:rFonts w:hint="eastAsia" w:eastAsia="仿宋_GB2312" w:cs="仿宋"/>
          <w:color w:val="auto"/>
          <w:sz w:val="32"/>
          <w:szCs w:val="32"/>
        </w:rPr>
        <w:t>市、县区两级</w:t>
      </w:r>
      <w:r>
        <w:rPr>
          <w:rFonts w:hint="eastAsia" w:eastAsia="仿宋_GB2312" w:cs="仿宋"/>
          <w:color w:val="auto"/>
          <w:sz w:val="32"/>
          <w:szCs w:val="32"/>
          <w:lang w:eastAsia="zh-CN"/>
        </w:rPr>
        <w:t>年度食品抽检量由</w:t>
      </w:r>
      <w:r>
        <w:rPr>
          <w:rFonts w:hint="eastAsia" w:eastAsia="仿宋_GB2312" w:cs="仿宋"/>
          <w:color w:val="auto"/>
          <w:sz w:val="32"/>
          <w:szCs w:val="32"/>
          <w:lang w:val="en-US" w:eastAsia="zh-CN"/>
        </w:rPr>
        <w:t>2016年的不足1.6批次</w:t>
      </w:r>
      <w:r>
        <w:rPr>
          <w:rFonts w:eastAsia="仿宋_GB2312" w:cs="仿宋"/>
          <w:color w:val="auto"/>
          <w:sz w:val="32"/>
          <w:szCs w:val="32"/>
        </w:rPr>
        <w:t>/</w:t>
      </w:r>
      <w:r>
        <w:rPr>
          <w:rFonts w:hint="eastAsia" w:eastAsia="仿宋_GB2312" w:cs="仿宋"/>
          <w:color w:val="auto"/>
          <w:sz w:val="32"/>
          <w:szCs w:val="32"/>
        </w:rPr>
        <w:t>千人</w:t>
      </w:r>
      <w:r>
        <w:rPr>
          <w:rFonts w:hint="eastAsia" w:eastAsia="仿宋_GB2312" w:cs="仿宋"/>
          <w:color w:val="auto"/>
          <w:sz w:val="32"/>
          <w:szCs w:val="32"/>
          <w:lang w:eastAsia="zh-CN"/>
        </w:rPr>
        <w:t>，大幅提升到</w:t>
      </w:r>
      <w:r>
        <w:rPr>
          <w:rFonts w:hint="eastAsia" w:eastAsia="仿宋_GB2312" w:cs="仿宋"/>
          <w:color w:val="auto"/>
          <w:sz w:val="32"/>
          <w:szCs w:val="32"/>
          <w:lang w:val="en-US" w:eastAsia="zh-CN"/>
        </w:rPr>
        <w:t>4.3批次</w:t>
      </w:r>
      <w:r>
        <w:rPr>
          <w:rFonts w:eastAsia="仿宋_GB2312" w:cs="仿宋"/>
          <w:color w:val="auto"/>
          <w:sz w:val="32"/>
          <w:szCs w:val="32"/>
        </w:rPr>
        <w:t>/</w:t>
      </w:r>
      <w:r>
        <w:rPr>
          <w:rFonts w:hint="eastAsia" w:eastAsia="仿宋_GB2312" w:cs="仿宋"/>
          <w:color w:val="auto"/>
          <w:sz w:val="32"/>
          <w:szCs w:val="32"/>
        </w:rPr>
        <w:t>千人</w:t>
      </w:r>
      <w:r>
        <w:rPr>
          <w:rFonts w:hint="eastAsia" w:eastAsia="仿宋_GB2312" w:cs="仿宋"/>
          <w:color w:val="auto"/>
          <w:sz w:val="32"/>
          <w:szCs w:val="32"/>
          <w:lang w:eastAsia="zh-CN"/>
        </w:rPr>
        <w:t>以上，期间共完成</w:t>
      </w:r>
      <w:r>
        <w:rPr>
          <w:rFonts w:hint="eastAsia" w:eastAsia="仿宋_GB2312" w:cs="仿宋"/>
          <w:color w:val="auto"/>
          <w:sz w:val="32"/>
          <w:szCs w:val="32"/>
        </w:rPr>
        <w:t>食品抽检</w:t>
      </w:r>
      <w:r>
        <w:rPr>
          <w:rFonts w:hint="eastAsia" w:eastAsia="仿宋_GB2312" w:cs="仿宋"/>
          <w:color w:val="auto"/>
          <w:sz w:val="32"/>
          <w:szCs w:val="32"/>
          <w:highlight w:val="none"/>
          <w:lang w:val="en-US" w:eastAsia="zh-CN"/>
        </w:rPr>
        <w:t>153567</w:t>
      </w:r>
      <w:r>
        <w:rPr>
          <w:rFonts w:hint="eastAsia" w:eastAsia="仿宋_GB2312" w:cs="仿宋"/>
          <w:color w:val="auto"/>
          <w:sz w:val="32"/>
          <w:szCs w:val="32"/>
          <w:highlight w:val="none"/>
        </w:rPr>
        <w:t>批次</w:t>
      </w:r>
      <w:r>
        <w:rPr>
          <w:rFonts w:hint="eastAsia" w:eastAsia="仿宋_GB2312" w:cs="仿宋"/>
          <w:color w:val="auto"/>
          <w:sz w:val="32"/>
          <w:szCs w:val="32"/>
        </w:rPr>
        <w:t>，</w:t>
      </w:r>
      <w:r>
        <w:rPr>
          <w:rFonts w:hint="eastAsia" w:eastAsia="仿宋_GB2312" w:cs="仿宋"/>
          <w:color w:val="auto"/>
          <w:sz w:val="32"/>
          <w:szCs w:val="32"/>
          <w:lang w:eastAsia="zh-CN"/>
        </w:rPr>
        <w:t>主要农产品质量安全例行监测（风险监测）总体合格率、食品</w:t>
      </w:r>
      <w:r>
        <w:rPr>
          <w:rFonts w:hint="eastAsia" w:eastAsia="仿宋_GB2312" w:cs="仿宋"/>
          <w:color w:val="auto"/>
          <w:sz w:val="32"/>
          <w:szCs w:val="32"/>
          <w:lang w:val="en-US" w:eastAsia="zh-CN"/>
        </w:rPr>
        <w:t>评价性抽检</w:t>
      </w:r>
      <w:r>
        <w:rPr>
          <w:rFonts w:hint="eastAsia" w:eastAsia="仿宋_GB2312" w:cs="仿宋"/>
          <w:color w:val="auto"/>
          <w:sz w:val="32"/>
          <w:szCs w:val="32"/>
        </w:rPr>
        <w:t>合格率</w:t>
      </w:r>
      <w:r>
        <w:rPr>
          <w:rFonts w:hint="eastAsia" w:eastAsia="仿宋_GB2312" w:cs="仿宋"/>
          <w:color w:val="auto"/>
          <w:sz w:val="32"/>
          <w:szCs w:val="32"/>
          <w:lang w:eastAsia="zh-CN"/>
        </w:rPr>
        <w:t>持续稳定在</w:t>
      </w:r>
      <w:r>
        <w:rPr>
          <w:rFonts w:eastAsia="仿宋_GB2312" w:cs="仿宋"/>
          <w:color w:val="auto"/>
          <w:sz w:val="32"/>
          <w:szCs w:val="32"/>
        </w:rPr>
        <w:t>98%</w:t>
      </w:r>
      <w:r>
        <w:rPr>
          <w:rFonts w:hint="eastAsia" w:eastAsia="仿宋_GB2312" w:cs="仿宋"/>
          <w:color w:val="auto"/>
          <w:sz w:val="32"/>
          <w:szCs w:val="32"/>
          <w:lang w:eastAsia="zh-CN"/>
        </w:rPr>
        <w:t>以上</w:t>
      </w:r>
      <w:r>
        <w:rPr>
          <w:rFonts w:hint="eastAsia" w:eastAsia="仿宋_GB2312" w:cs="仿宋"/>
          <w:color w:val="auto"/>
          <w:sz w:val="32"/>
          <w:szCs w:val="32"/>
        </w:rPr>
        <w:t>，为食品安全监管提供了有力的技术支撑。</w:t>
      </w:r>
    </w:p>
    <w:p>
      <w:pPr>
        <w:spacing w:line="560" w:lineRule="exact"/>
        <w:ind w:firstLine="643" w:firstLineChars="200"/>
        <w:outlineLvl w:val="1"/>
        <w:rPr>
          <w:rFonts w:ascii="楷体" w:hAnsi="楷体" w:eastAsia="楷体" w:cs="楷体"/>
          <w:b/>
          <w:bCs/>
          <w:color w:val="auto"/>
          <w:sz w:val="32"/>
          <w:szCs w:val="32"/>
        </w:rPr>
      </w:pPr>
      <w:bookmarkStart w:id="70" w:name="_Toc21038"/>
      <w:bookmarkStart w:id="71" w:name="_Toc26700"/>
      <w:bookmarkStart w:id="72" w:name="_Toc31659"/>
      <w:bookmarkStart w:id="73" w:name="_Toc31801"/>
      <w:bookmarkStart w:id="74" w:name="_Toc12900"/>
      <w:bookmarkStart w:id="75" w:name="_Toc147"/>
      <w:bookmarkStart w:id="76" w:name="_Toc12634"/>
      <w:bookmarkStart w:id="77" w:name="_Toc30288"/>
      <w:bookmarkStart w:id="78" w:name="_Toc32035"/>
      <w:bookmarkStart w:id="79" w:name="_Toc1803"/>
      <w:bookmarkStart w:id="80" w:name="_Toc16860"/>
      <w:r>
        <w:rPr>
          <w:rFonts w:hint="eastAsia" w:ascii="楷体" w:hAnsi="楷体" w:eastAsia="楷体" w:cs="楷体"/>
          <w:b/>
          <w:bCs/>
          <w:color w:val="auto"/>
          <w:sz w:val="32"/>
          <w:szCs w:val="32"/>
        </w:rPr>
        <w:t>（六）强化示范引领</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推动了食品安全再上新台阶</w:t>
      </w:r>
      <w:bookmarkEnd w:id="70"/>
      <w:bookmarkEnd w:id="71"/>
      <w:bookmarkEnd w:id="72"/>
      <w:bookmarkEnd w:id="73"/>
      <w:bookmarkEnd w:id="74"/>
      <w:bookmarkEnd w:id="75"/>
      <w:bookmarkEnd w:id="76"/>
      <w:bookmarkEnd w:id="77"/>
      <w:bookmarkEnd w:id="78"/>
      <w:bookmarkEnd w:id="79"/>
      <w:bookmarkEnd w:id="80"/>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“十三五”期间，我市以国家食品安全示范城市创建和</w:t>
      </w:r>
      <w:r>
        <w:rPr>
          <w:rFonts w:hint="eastAsia" w:eastAsia="仿宋_GB2312" w:cs="仿宋"/>
          <w:color w:val="auto"/>
          <w:sz w:val="32"/>
          <w:szCs w:val="32"/>
          <w:lang w:val="en-US" w:eastAsia="zh-CN"/>
        </w:rPr>
        <w:t>国家</w:t>
      </w:r>
      <w:r>
        <w:rPr>
          <w:rFonts w:hint="eastAsia" w:eastAsia="仿宋_GB2312" w:cs="仿宋"/>
          <w:color w:val="auto"/>
          <w:sz w:val="32"/>
          <w:szCs w:val="32"/>
        </w:rPr>
        <w:t>农产品质量安全县活动为总抓手，食品各领域示范建设成效明显，各项工作均居全省前列。在源头安全保障方面，我市实施</w:t>
      </w:r>
      <w:r>
        <w:rPr>
          <w:rFonts w:eastAsia="仿宋_GB2312" w:cs="仿宋"/>
          <w:color w:val="auto"/>
          <w:sz w:val="32"/>
          <w:szCs w:val="32"/>
        </w:rPr>
        <w:t>“</w:t>
      </w:r>
      <w:r>
        <w:rPr>
          <w:rFonts w:hint="eastAsia" w:eastAsia="仿宋_GB2312" w:cs="仿宋"/>
          <w:color w:val="auto"/>
          <w:sz w:val="32"/>
          <w:szCs w:val="32"/>
        </w:rPr>
        <w:t>菜篮子</w:t>
      </w:r>
      <w:r>
        <w:rPr>
          <w:rFonts w:eastAsia="仿宋_GB2312" w:cs="仿宋"/>
          <w:color w:val="auto"/>
          <w:sz w:val="32"/>
          <w:szCs w:val="32"/>
        </w:rPr>
        <w:t>”</w:t>
      </w:r>
      <w:r>
        <w:rPr>
          <w:rFonts w:hint="eastAsia" w:eastAsia="仿宋_GB2312" w:cs="仿宋"/>
          <w:color w:val="auto"/>
          <w:sz w:val="32"/>
          <w:szCs w:val="32"/>
        </w:rPr>
        <w:t>源头安全工程，建成市级食用农产品示范基地</w:t>
      </w:r>
      <w:r>
        <w:rPr>
          <w:rFonts w:eastAsia="仿宋_GB2312" w:cs="仿宋"/>
          <w:color w:val="auto"/>
          <w:sz w:val="32"/>
          <w:szCs w:val="32"/>
        </w:rPr>
        <w:t>62</w:t>
      </w:r>
      <w:r>
        <w:rPr>
          <w:rFonts w:hint="eastAsia" w:eastAsia="仿宋_GB2312" w:cs="仿宋"/>
          <w:color w:val="auto"/>
          <w:sz w:val="32"/>
          <w:szCs w:val="32"/>
        </w:rPr>
        <w:t>家，粤港澳大湾区</w:t>
      </w:r>
      <w:r>
        <w:rPr>
          <w:rFonts w:eastAsia="仿宋_GB2312" w:cs="仿宋"/>
          <w:color w:val="auto"/>
          <w:sz w:val="32"/>
          <w:szCs w:val="32"/>
        </w:rPr>
        <w:t>“</w:t>
      </w:r>
      <w:r>
        <w:rPr>
          <w:rFonts w:hint="eastAsia" w:eastAsia="仿宋_GB2312" w:cs="仿宋"/>
          <w:color w:val="auto"/>
          <w:sz w:val="32"/>
          <w:szCs w:val="32"/>
        </w:rPr>
        <w:t>菜篮子</w:t>
      </w:r>
      <w:r>
        <w:rPr>
          <w:rFonts w:eastAsia="仿宋_GB2312" w:cs="仿宋"/>
          <w:color w:val="auto"/>
          <w:sz w:val="32"/>
          <w:szCs w:val="32"/>
        </w:rPr>
        <w:t>”</w:t>
      </w:r>
      <w:r>
        <w:rPr>
          <w:rFonts w:hint="eastAsia" w:eastAsia="仿宋_GB2312" w:cs="仿宋"/>
          <w:color w:val="auto"/>
          <w:sz w:val="32"/>
          <w:szCs w:val="32"/>
        </w:rPr>
        <w:t>基地</w:t>
      </w:r>
      <w:r>
        <w:rPr>
          <w:rFonts w:eastAsia="仿宋_GB2312" w:cs="仿宋"/>
          <w:color w:val="auto"/>
          <w:sz w:val="32"/>
          <w:szCs w:val="32"/>
        </w:rPr>
        <w:t>12</w:t>
      </w:r>
      <w:r>
        <w:rPr>
          <w:rFonts w:hint="eastAsia" w:eastAsia="仿宋_GB2312" w:cs="仿宋"/>
          <w:color w:val="auto"/>
          <w:sz w:val="32"/>
          <w:szCs w:val="32"/>
        </w:rPr>
        <w:t>家。大余成功创建国家农产品质量安全县，兴国、崇义、石城、安远、全南、于都、上犹等</w:t>
      </w:r>
      <w:r>
        <w:rPr>
          <w:rFonts w:eastAsia="仿宋_GB2312" w:cs="仿宋"/>
          <w:color w:val="auto"/>
          <w:sz w:val="32"/>
          <w:szCs w:val="32"/>
        </w:rPr>
        <w:t>7</w:t>
      </w:r>
      <w:r>
        <w:rPr>
          <w:rFonts w:hint="eastAsia" w:eastAsia="仿宋_GB2312" w:cs="仿宋"/>
          <w:color w:val="auto"/>
          <w:sz w:val="32"/>
          <w:szCs w:val="32"/>
        </w:rPr>
        <w:t>个县被评为省级绿色有机农产品示范县。安远、寻乌、信丰三县被评为国家级出口食品农产品质量安全示范区。近三年全市食品农产品监测合格率稳定在</w:t>
      </w:r>
      <w:r>
        <w:rPr>
          <w:rFonts w:eastAsia="仿宋_GB2312" w:cs="仿宋"/>
          <w:color w:val="auto"/>
          <w:sz w:val="32"/>
          <w:szCs w:val="32"/>
        </w:rPr>
        <w:t>98%</w:t>
      </w:r>
      <w:r>
        <w:rPr>
          <w:rFonts w:hint="eastAsia" w:eastAsia="仿宋_GB2312" w:cs="仿宋"/>
          <w:color w:val="auto"/>
          <w:sz w:val="32"/>
          <w:szCs w:val="32"/>
        </w:rPr>
        <w:t>以上。在食品生产加工环节，实施《赣州市食品小作坊三年行动计划》，食品小作坊</w:t>
      </w:r>
      <w:r>
        <w:rPr>
          <w:rFonts w:eastAsia="仿宋_GB2312" w:cs="仿宋"/>
          <w:color w:val="auto"/>
          <w:sz w:val="32"/>
          <w:szCs w:val="32"/>
        </w:rPr>
        <w:t>100%</w:t>
      </w:r>
      <w:r>
        <w:rPr>
          <w:rFonts w:hint="eastAsia" w:eastAsia="仿宋_GB2312" w:cs="仿宋"/>
          <w:color w:val="auto"/>
          <w:sz w:val="32"/>
          <w:szCs w:val="32"/>
        </w:rPr>
        <w:t>登记建档，创建小作坊集中加工区</w:t>
      </w:r>
      <w:r>
        <w:rPr>
          <w:rFonts w:hint="eastAsia" w:eastAsia="仿宋_GB2312" w:cs="仿宋"/>
          <w:color w:val="auto"/>
          <w:sz w:val="32"/>
          <w:szCs w:val="32"/>
          <w:lang w:val="en-US" w:eastAsia="zh-CN"/>
        </w:rPr>
        <w:t>3</w:t>
      </w:r>
      <w:r>
        <w:rPr>
          <w:rFonts w:hint="eastAsia" w:eastAsia="仿宋_GB2312" w:cs="仿宋"/>
          <w:color w:val="auto"/>
          <w:sz w:val="32"/>
          <w:szCs w:val="32"/>
        </w:rPr>
        <w:t>个（章贡区、上犹县</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全南县</w:t>
      </w:r>
      <w:r>
        <w:rPr>
          <w:rFonts w:hint="eastAsia" w:eastAsia="仿宋_GB2312" w:cs="仿宋"/>
          <w:color w:val="auto"/>
          <w:sz w:val="32"/>
          <w:szCs w:val="32"/>
        </w:rPr>
        <w:t>）、示范单位</w:t>
      </w:r>
      <w:r>
        <w:rPr>
          <w:rFonts w:eastAsia="仿宋_GB2312" w:cs="仿宋"/>
          <w:color w:val="auto"/>
          <w:sz w:val="32"/>
          <w:szCs w:val="32"/>
        </w:rPr>
        <w:t>200</w:t>
      </w:r>
      <w:r>
        <w:rPr>
          <w:rFonts w:hint="eastAsia" w:eastAsia="仿宋_GB2312" w:cs="仿宋"/>
          <w:color w:val="auto"/>
          <w:sz w:val="32"/>
          <w:szCs w:val="32"/>
        </w:rPr>
        <w:t>家，</w:t>
      </w:r>
      <w:r>
        <w:rPr>
          <w:rFonts w:hint="eastAsia" w:eastAsia="仿宋_GB2312" w:cs="仿宋"/>
          <w:color w:val="auto"/>
          <w:sz w:val="32"/>
          <w:szCs w:val="32"/>
          <w:lang w:val="en-US" w:eastAsia="zh-CN"/>
        </w:rPr>
        <w:t>成功创建</w:t>
      </w:r>
      <w:r>
        <w:rPr>
          <w:rFonts w:hint="eastAsia" w:eastAsia="仿宋_GB2312" w:cs="仿宋"/>
          <w:color w:val="auto"/>
          <w:sz w:val="32"/>
          <w:szCs w:val="32"/>
        </w:rPr>
        <w:t>省级优秀示范点</w:t>
      </w:r>
      <w:r>
        <w:rPr>
          <w:rFonts w:eastAsia="仿宋_GB2312" w:cs="仿宋"/>
          <w:color w:val="auto"/>
          <w:sz w:val="32"/>
          <w:szCs w:val="32"/>
        </w:rPr>
        <w:t>59</w:t>
      </w:r>
      <w:r>
        <w:rPr>
          <w:rFonts w:hint="eastAsia" w:eastAsia="仿宋_GB2312" w:cs="仿宋"/>
          <w:color w:val="auto"/>
          <w:sz w:val="32"/>
          <w:szCs w:val="32"/>
        </w:rPr>
        <w:t>家</w:t>
      </w:r>
      <w:r>
        <w:rPr>
          <w:rFonts w:hint="eastAsia" w:eastAsia="仿宋_GB2312" w:cs="仿宋"/>
          <w:color w:val="auto"/>
          <w:sz w:val="32"/>
          <w:szCs w:val="32"/>
          <w:highlight w:val="none"/>
        </w:rPr>
        <w:t>，一批小作坊示范升级为</w:t>
      </w:r>
      <w:r>
        <w:rPr>
          <w:rFonts w:hint="eastAsia" w:eastAsia="仿宋_GB2312" w:cs="仿宋"/>
          <w:color w:val="auto"/>
          <w:sz w:val="32"/>
          <w:szCs w:val="32"/>
          <w:highlight w:val="none"/>
          <w:lang w:val="en-US" w:eastAsia="zh-CN"/>
        </w:rPr>
        <w:t>食品生产获证</w:t>
      </w:r>
      <w:r>
        <w:rPr>
          <w:rFonts w:hint="eastAsia" w:eastAsia="仿宋_GB2312" w:cs="仿宋"/>
          <w:color w:val="auto"/>
          <w:sz w:val="32"/>
          <w:szCs w:val="32"/>
          <w:highlight w:val="none"/>
        </w:rPr>
        <w:t>企业。</w:t>
      </w:r>
      <w:r>
        <w:rPr>
          <w:rFonts w:hint="eastAsia" w:eastAsia="仿宋_GB2312" w:cs="仿宋"/>
          <w:color w:val="auto"/>
          <w:sz w:val="32"/>
          <w:szCs w:val="32"/>
        </w:rPr>
        <w:t>在食品经营环节，全市县（市）主城区建成</w:t>
      </w:r>
      <w:r>
        <w:rPr>
          <w:rFonts w:eastAsia="仿宋_GB2312" w:cs="仿宋"/>
          <w:color w:val="auto"/>
          <w:sz w:val="32"/>
          <w:szCs w:val="32"/>
        </w:rPr>
        <w:t>2</w:t>
      </w:r>
      <w:r>
        <w:rPr>
          <w:rFonts w:hint="eastAsia" w:eastAsia="仿宋_GB2312" w:cs="仿宋"/>
          <w:color w:val="auto"/>
          <w:sz w:val="32"/>
          <w:szCs w:val="32"/>
        </w:rPr>
        <w:t>个以上规范化市场，累计改造、新建标准化农贸市场</w:t>
      </w:r>
      <w:r>
        <w:rPr>
          <w:rFonts w:eastAsia="仿宋_GB2312" w:cs="仿宋"/>
          <w:color w:val="auto"/>
          <w:sz w:val="32"/>
          <w:szCs w:val="32"/>
        </w:rPr>
        <w:t>108</w:t>
      </w:r>
      <w:r>
        <w:rPr>
          <w:rFonts w:hint="eastAsia" w:eastAsia="仿宋_GB2312" w:cs="仿宋"/>
          <w:color w:val="auto"/>
          <w:sz w:val="32"/>
          <w:szCs w:val="32"/>
        </w:rPr>
        <w:t>个。按照</w:t>
      </w:r>
      <w:r>
        <w:rPr>
          <w:rFonts w:eastAsia="仿宋_GB2312" w:cs="仿宋"/>
          <w:color w:val="auto"/>
          <w:sz w:val="32"/>
          <w:szCs w:val="32"/>
        </w:rPr>
        <w:t>“</w:t>
      </w:r>
      <w:r>
        <w:rPr>
          <w:rFonts w:hint="eastAsia" w:eastAsia="仿宋_GB2312" w:cs="仿宋"/>
          <w:color w:val="auto"/>
          <w:sz w:val="32"/>
          <w:szCs w:val="32"/>
        </w:rPr>
        <w:t>家禽集中屠宰，冷链配送、生鲜上市</w:t>
      </w:r>
      <w:r>
        <w:rPr>
          <w:rFonts w:eastAsia="仿宋_GB2312" w:cs="仿宋"/>
          <w:color w:val="auto"/>
          <w:sz w:val="32"/>
          <w:szCs w:val="32"/>
        </w:rPr>
        <w:t>”</w:t>
      </w:r>
      <w:r>
        <w:rPr>
          <w:rFonts w:hint="eastAsia" w:eastAsia="仿宋_GB2312" w:cs="仿宋"/>
          <w:color w:val="auto"/>
          <w:sz w:val="32"/>
          <w:szCs w:val="32"/>
        </w:rPr>
        <w:t>要求，</w:t>
      </w:r>
      <w:r>
        <w:rPr>
          <w:rFonts w:eastAsia="仿宋_GB2312" w:cs="仿宋"/>
          <w:color w:val="auto"/>
          <w:sz w:val="32"/>
          <w:szCs w:val="32"/>
        </w:rPr>
        <w:t>2019</w:t>
      </w:r>
      <w:r>
        <w:rPr>
          <w:rFonts w:hint="eastAsia" w:eastAsia="仿宋_GB2312" w:cs="仿宋"/>
          <w:color w:val="auto"/>
          <w:sz w:val="32"/>
          <w:szCs w:val="32"/>
        </w:rPr>
        <w:t>年</w:t>
      </w:r>
      <w:r>
        <w:rPr>
          <w:rFonts w:eastAsia="仿宋_GB2312" w:cs="仿宋"/>
          <w:color w:val="auto"/>
          <w:sz w:val="32"/>
          <w:szCs w:val="32"/>
        </w:rPr>
        <w:t>8</w:t>
      </w:r>
      <w:r>
        <w:rPr>
          <w:rFonts w:hint="eastAsia" w:eastAsia="仿宋_GB2312" w:cs="仿宋"/>
          <w:color w:val="auto"/>
          <w:sz w:val="32"/>
          <w:szCs w:val="32"/>
        </w:rPr>
        <w:t>月，章贡区在全省率先实施</w:t>
      </w:r>
      <w:r>
        <w:rPr>
          <w:rFonts w:eastAsia="仿宋_GB2312" w:cs="仿宋"/>
          <w:color w:val="auto"/>
          <w:sz w:val="32"/>
          <w:szCs w:val="32"/>
        </w:rPr>
        <w:t>“</w:t>
      </w:r>
      <w:r>
        <w:rPr>
          <w:rFonts w:hint="eastAsia" w:eastAsia="仿宋_GB2312" w:cs="仿宋"/>
          <w:color w:val="auto"/>
          <w:sz w:val="32"/>
          <w:szCs w:val="32"/>
        </w:rPr>
        <w:t>活禽定点宰杀、生鲜上市</w:t>
      </w:r>
      <w:r>
        <w:rPr>
          <w:rFonts w:eastAsia="仿宋_GB2312" w:cs="仿宋"/>
          <w:color w:val="auto"/>
          <w:sz w:val="32"/>
          <w:szCs w:val="32"/>
        </w:rPr>
        <w:t>”</w:t>
      </w:r>
      <w:r>
        <w:rPr>
          <w:rFonts w:hint="eastAsia" w:eastAsia="仿宋_GB2312" w:cs="仿宋"/>
          <w:color w:val="auto"/>
          <w:sz w:val="32"/>
          <w:szCs w:val="32"/>
        </w:rPr>
        <w:t>，食品安全、疫情防控事件风险大幅降低，目前该项工作已在</w:t>
      </w:r>
      <w:r>
        <w:rPr>
          <w:rFonts w:eastAsia="仿宋_GB2312" w:cs="仿宋"/>
          <w:color w:val="auto"/>
          <w:sz w:val="32"/>
          <w:szCs w:val="32"/>
        </w:rPr>
        <w:t>10</w:t>
      </w:r>
      <w:r>
        <w:rPr>
          <w:rFonts w:hint="eastAsia" w:eastAsia="仿宋_GB2312" w:cs="仿宋"/>
          <w:color w:val="auto"/>
          <w:sz w:val="32"/>
          <w:szCs w:val="32"/>
        </w:rPr>
        <w:t>个县（市、区）中心城区推行。推行食用农产品合格证制度，试点主体</w:t>
      </w:r>
      <w:r>
        <w:rPr>
          <w:rFonts w:eastAsia="仿宋_GB2312" w:cs="仿宋"/>
          <w:color w:val="auto"/>
          <w:sz w:val="32"/>
          <w:szCs w:val="32"/>
        </w:rPr>
        <w:t>671</w:t>
      </w:r>
      <w:r>
        <w:rPr>
          <w:rFonts w:hint="eastAsia" w:eastAsia="仿宋_GB2312" w:cs="仿宋"/>
          <w:color w:val="auto"/>
          <w:sz w:val="32"/>
          <w:szCs w:val="32"/>
        </w:rPr>
        <w:t>家，出证</w:t>
      </w:r>
      <w:r>
        <w:rPr>
          <w:rFonts w:eastAsia="仿宋_GB2312" w:cs="仿宋"/>
          <w:color w:val="auto"/>
          <w:sz w:val="32"/>
          <w:szCs w:val="32"/>
        </w:rPr>
        <w:t>2</w:t>
      </w:r>
      <w:r>
        <w:rPr>
          <w:rFonts w:hint="eastAsia" w:eastAsia="仿宋_GB2312" w:cs="仿宋"/>
          <w:color w:val="auto"/>
          <w:sz w:val="32"/>
          <w:szCs w:val="32"/>
        </w:rPr>
        <w:t>万余张，带证上市农产品</w:t>
      </w:r>
      <w:r>
        <w:rPr>
          <w:rFonts w:eastAsia="仿宋_GB2312" w:cs="仿宋"/>
          <w:color w:val="auto"/>
          <w:sz w:val="32"/>
          <w:szCs w:val="32"/>
        </w:rPr>
        <w:t>1.2</w:t>
      </w:r>
      <w:r>
        <w:rPr>
          <w:rFonts w:hint="eastAsia" w:eastAsia="仿宋_GB2312" w:cs="仿宋"/>
          <w:color w:val="auto"/>
          <w:sz w:val="32"/>
          <w:szCs w:val="32"/>
        </w:rPr>
        <w:t>万余吨。创建</w:t>
      </w:r>
      <w:r>
        <w:rPr>
          <w:rFonts w:eastAsia="仿宋_GB2312" w:cs="仿宋"/>
          <w:color w:val="auto"/>
          <w:sz w:val="32"/>
          <w:szCs w:val="32"/>
        </w:rPr>
        <w:t>“</w:t>
      </w:r>
      <w:r>
        <w:rPr>
          <w:rFonts w:hint="eastAsia" w:eastAsia="仿宋_GB2312" w:cs="仿宋"/>
          <w:color w:val="auto"/>
          <w:sz w:val="32"/>
          <w:szCs w:val="32"/>
        </w:rPr>
        <w:t>放心肉菜示范超市</w:t>
      </w:r>
      <w:r>
        <w:rPr>
          <w:rFonts w:eastAsia="仿宋_GB2312" w:cs="仿宋"/>
          <w:color w:val="auto"/>
          <w:sz w:val="32"/>
          <w:szCs w:val="32"/>
        </w:rPr>
        <w:t>”</w:t>
      </w:r>
      <w:r>
        <w:rPr>
          <w:rFonts w:hint="eastAsia" w:eastAsia="仿宋_GB2312" w:cs="仿宋"/>
          <w:color w:val="auto"/>
          <w:sz w:val="32"/>
          <w:szCs w:val="32"/>
          <w:lang w:val="en-US" w:eastAsia="zh-CN"/>
        </w:rPr>
        <w:t>25</w:t>
      </w:r>
      <w:r>
        <w:rPr>
          <w:rFonts w:hint="eastAsia" w:eastAsia="仿宋_GB2312" w:cs="仿宋"/>
          <w:color w:val="auto"/>
          <w:sz w:val="32"/>
          <w:szCs w:val="32"/>
        </w:rPr>
        <w:t>家，统一标准的蔬菜便利店</w:t>
      </w:r>
      <w:r>
        <w:rPr>
          <w:rFonts w:eastAsia="仿宋_GB2312" w:cs="仿宋"/>
          <w:color w:val="auto"/>
          <w:sz w:val="32"/>
          <w:szCs w:val="32"/>
        </w:rPr>
        <w:t>170</w:t>
      </w:r>
      <w:r>
        <w:rPr>
          <w:rFonts w:hint="eastAsia" w:eastAsia="仿宋_GB2312" w:cs="仿宋"/>
          <w:color w:val="auto"/>
          <w:sz w:val="32"/>
          <w:szCs w:val="32"/>
        </w:rPr>
        <w:t>多家。全市建成餐饮食品安全示范街（区、点）</w:t>
      </w:r>
      <w:r>
        <w:rPr>
          <w:rFonts w:hint="eastAsia" w:eastAsia="仿宋_GB2312" w:cs="仿宋"/>
          <w:color w:val="auto"/>
          <w:sz w:val="32"/>
          <w:szCs w:val="32"/>
          <w:lang w:val="en-US" w:eastAsia="zh-CN"/>
        </w:rPr>
        <w:t>50</w:t>
      </w:r>
      <w:r>
        <w:rPr>
          <w:rFonts w:hint="eastAsia" w:eastAsia="仿宋_GB2312" w:cs="仿宋"/>
          <w:color w:val="auto"/>
          <w:sz w:val="32"/>
          <w:szCs w:val="32"/>
        </w:rPr>
        <w:t>条，“明厨亮灶”达标餐饮单位</w:t>
      </w:r>
      <w:r>
        <w:rPr>
          <w:rFonts w:eastAsia="仿宋_GB2312" w:cs="仿宋"/>
          <w:color w:val="auto"/>
          <w:sz w:val="32"/>
          <w:szCs w:val="32"/>
        </w:rPr>
        <w:t>1</w:t>
      </w:r>
      <w:r>
        <w:rPr>
          <w:rFonts w:hint="eastAsia" w:eastAsia="仿宋_GB2312" w:cs="仿宋"/>
          <w:color w:val="auto"/>
          <w:sz w:val="32"/>
          <w:szCs w:val="32"/>
        </w:rPr>
        <w:t>万多家、学校“明厨亮灶”覆盖率达</w:t>
      </w:r>
      <w:r>
        <w:rPr>
          <w:rFonts w:hint="eastAsia" w:eastAsia="仿宋_GB2312" w:cs="仿宋"/>
          <w:color w:val="auto"/>
          <w:sz w:val="32"/>
          <w:szCs w:val="32"/>
          <w:lang w:val="en-US" w:eastAsia="zh-CN"/>
        </w:rPr>
        <w:t>100</w:t>
      </w:r>
      <w:r>
        <w:rPr>
          <w:rFonts w:eastAsia="仿宋_GB2312" w:cs="仿宋"/>
          <w:color w:val="auto"/>
          <w:sz w:val="32"/>
          <w:szCs w:val="32"/>
        </w:rPr>
        <w:t>%</w:t>
      </w:r>
      <w:r>
        <w:rPr>
          <w:rFonts w:hint="eastAsia" w:eastAsia="仿宋_GB2312" w:cs="仿宋"/>
          <w:color w:val="auto"/>
          <w:sz w:val="32"/>
          <w:szCs w:val="32"/>
        </w:rPr>
        <w:t>。通过示范引领，带动了大批食品经营户改善条件、改进管理，提高食品安全保障水平。</w:t>
      </w:r>
    </w:p>
    <w:p>
      <w:pPr>
        <w:spacing w:line="560" w:lineRule="exact"/>
        <w:ind w:firstLine="643" w:firstLineChars="200"/>
        <w:outlineLvl w:val="1"/>
        <w:rPr>
          <w:rFonts w:ascii="楷体" w:hAnsi="楷体" w:eastAsia="楷体" w:cs="楷体"/>
          <w:b/>
          <w:bCs/>
          <w:color w:val="auto"/>
          <w:sz w:val="32"/>
          <w:szCs w:val="32"/>
        </w:rPr>
      </w:pPr>
      <w:bookmarkStart w:id="81" w:name="_Toc7827"/>
      <w:bookmarkStart w:id="82" w:name="_Toc9133"/>
      <w:bookmarkStart w:id="83" w:name="_Toc16551"/>
      <w:bookmarkStart w:id="84" w:name="_Toc9732"/>
      <w:bookmarkStart w:id="85" w:name="_Toc31647"/>
      <w:bookmarkStart w:id="86" w:name="_Toc21582"/>
      <w:bookmarkStart w:id="87" w:name="_Toc22212"/>
      <w:bookmarkStart w:id="88" w:name="_Toc6350"/>
      <w:bookmarkStart w:id="89" w:name="_Toc6346"/>
      <w:bookmarkStart w:id="90" w:name="_Toc4707"/>
      <w:bookmarkStart w:id="91" w:name="_Toc25724"/>
      <w:r>
        <w:rPr>
          <w:rFonts w:hint="eastAsia" w:ascii="楷体" w:hAnsi="楷体" w:eastAsia="楷体" w:cs="楷体"/>
          <w:b/>
          <w:bCs/>
          <w:color w:val="auto"/>
          <w:sz w:val="32"/>
          <w:szCs w:val="32"/>
        </w:rPr>
        <w:t>（七）坚持问计于民</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迈出了社会共治新步伐</w:t>
      </w:r>
      <w:bookmarkEnd w:id="81"/>
      <w:bookmarkEnd w:id="82"/>
      <w:bookmarkEnd w:id="83"/>
      <w:bookmarkEnd w:id="84"/>
      <w:bookmarkEnd w:id="85"/>
      <w:bookmarkEnd w:id="86"/>
      <w:bookmarkEnd w:id="87"/>
      <w:bookmarkEnd w:id="88"/>
      <w:bookmarkEnd w:id="89"/>
      <w:bookmarkEnd w:id="90"/>
      <w:bookmarkEnd w:id="91"/>
    </w:p>
    <w:p>
      <w:pPr>
        <w:spacing w:line="560" w:lineRule="exact"/>
        <w:ind w:firstLine="640" w:firstLineChars="200"/>
        <w:rPr>
          <w:rFonts w:eastAsia="仿宋_GB2312" w:cs="仿宋"/>
          <w:color w:val="auto"/>
          <w:sz w:val="32"/>
          <w:szCs w:val="32"/>
          <w:highlight w:val="none"/>
        </w:rPr>
      </w:pPr>
      <w:r>
        <w:rPr>
          <w:rFonts w:hint="eastAsia" w:eastAsia="仿宋_GB2312" w:cs="仿宋"/>
          <w:color w:val="auto"/>
          <w:sz w:val="32"/>
          <w:szCs w:val="32"/>
        </w:rPr>
        <w:t>“十三五”期间，我市坚持问计于民，主动征集群众关心的食品安全问题，开展食品安全问计于民调查活动。着眼解决百姓身边的“烦心事、麻烦事、揪心事”的典型做法，获得省食品安全办充分肯定并在全省推广；坚持宣传引导，大力开展食品安全宣传和科普教育，加强舆论引导，把握食品安全话语权，在我市主流媒体开辟食品安全专栏，累计发布稿件600余篇。设立“食安赣州”微信公众号累计发布信息437条，阅读人次近100万，其中单篇20万+信息1篇，10万+信息3篇，被评为“赣州十佳政务新媒体”。坚持群众参与，邀请人大代表、政协委员、媒体记者和公众</w:t>
      </w:r>
      <w:r>
        <w:rPr>
          <w:rFonts w:hint="eastAsia" w:eastAsia="仿宋_GB2312" w:cs="仿宋"/>
          <w:color w:val="auto"/>
          <w:sz w:val="32"/>
          <w:szCs w:val="32"/>
          <w:lang w:val="en-US" w:eastAsia="zh-CN"/>
        </w:rPr>
        <w:t>等社会代表</w:t>
      </w:r>
      <w:r>
        <w:rPr>
          <w:rFonts w:hint="eastAsia" w:eastAsia="仿宋_GB2312" w:cs="仿宋"/>
          <w:color w:val="auto"/>
          <w:sz w:val="32"/>
          <w:szCs w:val="32"/>
        </w:rPr>
        <w:t>走进检验检测机构、企业，探讨交流食品安全风险。举办“你送、我检”</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你点、我检</w:t>
      </w:r>
      <w:r>
        <w:rPr>
          <w:rFonts w:hint="eastAsia" w:eastAsia="仿宋_GB2312" w:cs="仿宋"/>
          <w:color w:val="auto"/>
          <w:sz w:val="32"/>
          <w:szCs w:val="32"/>
          <w:lang w:eastAsia="zh-CN"/>
        </w:rPr>
        <w:t>”、</w:t>
      </w:r>
      <w:r>
        <w:rPr>
          <w:rFonts w:hint="eastAsia" w:eastAsia="仿宋_GB2312" w:cs="仿宋"/>
          <w:color w:val="auto"/>
          <w:sz w:val="32"/>
          <w:szCs w:val="32"/>
        </w:rPr>
        <w:t>“你订餐、我检验”等活动，引导社会公众积极参与食品安全工作。深入开展食品安全“进学校、进社区、进农村、进企业、进机关”活动，不断提高群</w:t>
      </w:r>
      <w:r>
        <w:rPr>
          <w:rFonts w:hint="eastAsia" w:eastAsia="仿宋_GB2312" w:cs="仿宋"/>
          <w:color w:val="auto"/>
          <w:sz w:val="32"/>
          <w:szCs w:val="32"/>
          <w:highlight w:val="none"/>
        </w:rPr>
        <w:t>众对食品安全的</w:t>
      </w:r>
      <w:r>
        <w:rPr>
          <w:rFonts w:hint="eastAsia" w:eastAsia="仿宋_GB2312" w:cs="仿宋"/>
          <w:color w:val="auto"/>
          <w:sz w:val="32"/>
          <w:szCs w:val="32"/>
          <w:highlight w:val="none"/>
          <w:lang w:eastAsia="zh-CN"/>
        </w:rPr>
        <w:t>获得感、</w:t>
      </w:r>
      <w:r>
        <w:rPr>
          <w:rFonts w:hint="eastAsia" w:eastAsia="仿宋_GB2312" w:cs="仿宋"/>
          <w:color w:val="auto"/>
          <w:sz w:val="32"/>
          <w:szCs w:val="32"/>
          <w:highlight w:val="none"/>
          <w:lang w:val="en-US" w:eastAsia="zh-CN"/>
        </w:rPr>
        <w:t>幸福感、安全感</w:t>
      </w:r>
      <w:r>
        <w:rPr>
          <w:rFonts w:hint="eastAsia" w:eastAsia="仿宋_GB2312" w:cs="仿宋"/>
          <w:color w:val="auto"/>
          <w:sz w:val="32"/>
          <w:szCs w:val="32"/>
          <w:highlight w:val="none"/>
        </w:rPr>
        <w:t>。</w:t>
      </w:r>
    </w:p>
    <w:p>
      <w:pPr>
        <w:spacing w:line="560" w:lineRule="exact"/>
        <w:ind w:firstLine="643" w:firstLineChars="200"/>
        <w:outlineLvl w:val="1"/>
        <w:rPr>
          <w:rFonts w:ascii="楷体" w:hAnsi="楷体" w:eastAsia="楷体" w:cs="楷体"/>
          <w:b/>
          <w:bCs/>
          <w:color w:val="auto"/>
          <w:sz w:val="32"/>
          <w:szCs w:val="32"/>
        </w:rPr>
      </w:pPr>
      <w:bookmarkStart w:id="92" w:name="_Toc4353"/>
      <w:bookmarkStart w:id="93" w:name="_Toc24704"/>
      <w:bookmarkStart w:id="94" w:name="_Toc12944"/>
      <w:bookmarkStart w:id="95" w:name="_Toc29673"/>
      <w:bookmarkStart w:id="96" w:name="_Toc11583"/>
      <w:bookmarkStart w:id="97" w:name="_Toc12856"/>
      <w:bookmarkStart w:id="98" w:name="_Toc32477"/>
      <w:bookmarkStart w:id="99" w:name="_Toc4333"/>
      <w:bookmarkStart w:id="100" w:name="_Toc232"/>
      <w:bookmarkStart w:id="101" w:name="_Toc13751"/>
      <w:bookmarkStart w:id="102" w:name="_Toc8592"/>
      <w:r>
        <w:rPr>
          <w:rFonts w:hint="eastAsia" w:ascii="楷体" w:hAnsi="楷体" w:eastAsia="楷体" w:cs="楷体"/>
          <w:b/>
          <w:bCs/>
          <w:color w:val="auto"/>
          <w:sz w:val="32"/>
          <w:szCs w:val="32"/>
        </w:rPr>
        <w:t>（八）借助科技手段</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推动了数据与监管深度融合</w:t>
      </w:r>
      <w:bookmarkEnd w:id="92"/>
      <w:bookmarkEnd w:id="93"/>
      <w:bookmarkEnd w:id="94"/>
      <w:bookmarkEnd w:id="95"/>
      <w:bookmarkEnd w:id="96"/>
      <w:bookmarkEnd w:id="97"/>
      <w:bookmarkEnd w:id="98"/>
      <w:bookmarkEnd w:id="99"/>
      <w:bookmarkEnd w:id="100"/>
      <w:bookmarkEnd w:id="101"/>
      <w:bookmarkEnd w:id="102"/>
    </w:p>
    <w:p>
      <w:pPr>
        <w:spacing w:line="560" w:lineRule="exact"/>
        <w:ind w:firstLine="640" w:firstLineChars="200"/>
        <w:rPr>
          <w:rFonts w:eastAsia="仿宋_GB2312" w:cs="仿宋"/>
          <w:color w:val="auto"/>
          <w:sz w:val="32"/>
          <w:szCs w:val="32"/>
          <w:highlight w:val="none"/>
        </w:rPr>
      </w:pPr>
      <w:r>
        <w:rPr>
          <w:rFonts w:hint="eastAsia" w:eastAsia="仿宋_GB2312" w:cs="仿宋"/>
          <w:color w:val="auto"/>
          <w:sz w:val="32"/>
          <w:szCs w:val="32"/>
        </w:rPr>
        <w:t>“十三五”期间，我市全面贯彻科技发展的理念，结合赣州市新型智慧城市建设工作要求，投入</w:t>
      </w:r>
      <w:r>
        <w:rPr>
          <w:rFonts w:eastAsia="仿宋_GB2312" w:cs="仿宋"/>
          <w:color w:val="auto"/>
          <w:sz w:val="32"/>
          <w:szCs w:val="32"/>
        </w:rPr>
        <w:t>2000</w:t>
      </w:r>
      <w:r>
        <w:rPr>
          <w:rFonts w:hint="eastAsia" w:eastAsia="仿宋_GB2312" w:cs="仿宋"/>
          <w:color w:val="auto"/>
          <w:sz w:val="32"/>
          <w:szCs w:val="32"/>
        </w:rPr>
        <w:t>余万元建设了“赣州智慧市场监管平台”，推动了数据与监管工作的深度融合，实现“数据多跑路，人员少跑腿”，大幅提升食品</w:t>
      </w:r>
      <w:r>
        <w:rPr>
          <w:rFonts w:hint="eastAsia" w:eastAsia="仿宋_GB2312" w:cs="仿宋"/>
          <w:color w:val="auto"/>
          <w:sz w:val="32"/>
          <w:szCs w:val="32"/>
          <w:highlight w:val="none"/>
        </w:rPr>
        <w:t>安全监管效能。</w:t>
      </w:r>
      <w:r>
        <w:rPr>
          <w:rFonts w:hint="eastAsia" w:eastAsia="仿宋_GB2312" w:cs="仿宋"/>
          <w:color w:val="auto"/>
          <w:sz w:val="32"/>
          <w:szCs w:val="32"/>
          <w:highlight w:val="none"/>
          <w:lang w:eastAsia="zh-CN"/>
        </w:rPr>
        <w:t>“</w:t>
      </w:r>
      <w:r>
        <w:rPr>
          <w:rFonts w:hint="eastAsia" w:eastAsia="仿宋_GB2312" w:cs="仿宋"/>
          <w:color w:val="auto"/>
          <w:sz w:val="32"/>
          <w:szCs w:val="32"/>
          <w:highlight w:val="none"/>
        </w:rPr>
        <w:t>十三五</w:t>
      </w:r>
      <w:r>
        <w:rPr>
          <w:rFonts w:hint="eastAsia" w:eastAsia="仿宋_GB2312" w:cs="仿宋"/>
          <w:color w:val="auto"/>
          <w:sz w:val="32"/>
          <w:szCs w:val="32"/>
          <w:highlight w:val="none"/>
          <w:lang w:eastAsia="zh-CN"/>
        </w:rPr>
        <w:t>”</w:t>
      </w:r>
      <w:r>
        <w:rPr>
          <w:rFonts w:hint="eastAsia" w:eastAsia="仿宋_GB2312" w:cs="仿宋"/>
          <w:color w:val="auto"/>
          <w:sz w:val="32"/>
          <w:szCs w:val="32"/>
          <w:highlight w:val="none"/>
        </w:rPr>
        <w:t>期间，我市在“赣州智慧市场监管”食品药品监管模块共录入食品监管对象基本信息</w:t>
      </w:r>
      <w:r>
        <w:rPr>
          <w:rFonts w:hint="default" w:eastAsia="仿宋_GB2312" w:cs="仿宋"/>
          <w:color w:val="auto"/>
          <w:sz w:val="32"/>
          <w:szCs w:val="32"/>
          <w:highlight w:val="none"/>
          <w:lang w:val="en"/>
        </w:rPr>
        <w:t>88856</w:t>
      </w:r>
      <w:r>
        <w:rPr>
          <w:rFonts w:hint="eastAsia" w:eastAsia="仿宋_GB2312" w:cs="仿宋"/>
          <w:color w:val="auto"/>
          <w:sz w:val="32"/>
          <w:szCs w:val="32"/>
          <w:highlight w:val="none"/>
        </w:rPr>
        <w:t>条、食品安全日常检查记录</w:t>
      </w:r>
      <w:r>
        <w:rPr>
          <w:rFonts w:hint="default" w:eastAsia="仿宋_GB2312" w:cs="仿宋"/>
          <w:color w:val="auto"/>
          <w:sz w:val="32"/>
          <w:szCs w:val="32"/>
          <w:highlight w:val="none"/>
          <w:lang w:val="en"/>
        </w:rPr>
        <w:t>43638</w:t>
      </w:r>
      <w:r>
        <w:rPr>
          <w:rFonts w:hint="eastAsia" w:eastAsia="仿宋_GB2312" w:cs="仿宋"/>
          <w:color w:val="auto"/>
          <w:sz w:val="32"/>
          <w:szCs w:val="32"/>
          <w:highlight w:val="none"/>
        </w:rPr>
        <w:t>条、食品和食用农产品监督抽检记录</w:t>
      </w:r>
      <w:r>
        <w:rPr>
          <w:rFonts w:hint="default" w:eastAsia="仿宋_GB2312" w:cs="仿宋"/>
          <w:color w:val="auto"/>
          <w:sz w:val="32"/>
          <w:szCs w:val="32"/>
          <w:highlight w:val="none"/>
          <w:lang w:val="en"/>
        </w:rPr>
        <w:t>18313</w:t>
      </w:r>
      <w:r>
        <w:rPr>
          <w:rFonts w:hint="eastAsia" w:eastAsia="仿宋_GB2312" w:cs="仿宋"/>
          <w:color w:val="auto"/>
          <w:sz w:val="32"/>
          <w:szCs w:val="32"/>
          <w:highlight w:val="none"/>
        </w:rPr>
        <w:t>条、快检信息</w:t>
      </w:r>
      <w:r>
        <w:rPr>
          <w:rFonts w:hint="default" w:eastAsia="仿宋_GB2312" w:cs="仿宋"/>
          <w:color w:val="auto"/>
          <w:sz w:val="32"/>
          <w:szCs w:val="32"/>
          <w:highlight w:val="none"/>
          <w:lang w:val="en"/>
        </w:rPr>
        <w:t>86691</w:t>
      </w:r>
      <w:r>
        <w:rPr>
          <w:rFonts w:hint="eastAsia" w:eastAsia="仿宋_GB2312" w:cs="仿宋"/>
          <w:color w:val="auto"/>
          <w:sz w:val="32"/>
          <w:szCs w:val="32"/>
          <w:highlight w:val="none"/>
        </w:rPr>
        <w:t>条，食品安全监管信息化建设取得良好开局。</w:t>
      </w:r>
    </w:p>
    <w:p>
      <w:pPr>
        <w:spacing w:line="560" w:lineRule="exact"/>
        <w:ind w:firstLine="643" w:firstLineChars="200"/>
        <w:outlineLvl w:val="1"/>
        <w:rPr>
          <w:rFonts w:ascii="楷体" w:hAnsi="楷体" w:eastAsia="楷体" w:cs="楷体"/>
          <w:b/>
          <w:bCs/>
          <w:color w:val="auto"/>
          <w:sz w:val="32"/>
          <w:szCs w:val="32"/>
        </w:rPr>
      </w:pPr>
      <w:bookmarkStart w:id="103" w:name="_Toc10827"/>
      <w:bookmarkStart w:id="104" w:name="_Toc9622"/>
      <w:bookmarkStart w:id="105" w:name="_Toc29831"/>
      <w:bookmarkStart w:id="106" w:name="_Toc32466"/>
      <w:bookmarkStart w:id="107" w:name="_Toc31604"/>
      <w:bookmarkStart w:id="108" w:name="_Toc16513"/>
      <w:bookmarkStart w:id="109" w:name="_Toc3378"/>
      <w:bookmarkStart w:id="110" w:name="_Toc39"/>
      <w:bookmarkStart w:id="111" w:name="_Toc8032"/>
      <w:bookmarkStart w:id="112" w:name="_Toc19897"/>
      <w:bookmarkStart w:id="113" w:name="_Toc25895"/>
      <w:r>
        <w:rPr>
          <w:rFonts w:hint="eastAsia" w:ascii="楷体" w:hAnsi="楷体" w:eastAsia="楷体" w:cs="楷体"/>
          <w:b/>
          <w:bCs/>
          <w:color w:val="auto"/>
          <w:sz w:val="32"/>
          <w:szCs w:val="32"/>
        </w:rPr>
        <w:t>（九）实施最严格监管</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查处了一批违法犯罪行为</w:t>
      </w:r>
      <w:bookmarkEnd w:id="103"/>
      <w:bookmarkEnd w:id="104"/>
      <w:bookmarkEnd w:id="105"/>
      <w:bookmarkEnd w:id="106"/>
      <w:bookmarkEnd w:id="107"/>
      <w:bookmarkEnd w:id="108"/>
      <w:bookmarkEnd w:id="109"/>
      <w:bookmarkEnd w:id="110"/>
      <w:bookmarkEnd w:id="111"/>
      <w:bookmarkEnd w:id="112"/>
      <w:bookmarkEnd w:id="113"/>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lang w:eastAsia="zh-CN"/>
        </w:rPr>
        <w:t>“</w:t>
      </w:r>
      <w:r>
        <w:rPr>
          <w:rFonts w:hint="eastAsia" w:eastAsia="仿宋_GB2312" w:cs="仿宋"/>
          <w:color w:val="auto"/>
          <w:sz w:val="32"/>
          <w:szCs w:val="32"/>
        </w:rPr>
        <w:t>十三五</w:t>
      </w:r>
      <w:r>
        <w:rPr>
          <w:rFonts w:hint="eastAsia" w:eastAsia="仿宋_GB2312" w:cs="仿宋"/>
          <w:color w:val="auto"/>
          <w:sz w:val="32"/>
          <w:szCs w:val="32"/>
          <w:lang w:eastAsia="zh-CN"/>
        </w:rPr>
        <w:t>”</w:t>
      </w:r>
      <w:r>
        <w:rPr>
          <w:rFonts w:hint="eastAsia" w:eastAsia="仿宋_GB2312" w:cs="仿宋"/>
          <w:color w:val="auto"/>
          <w:sz w:val="32"/>
          <w:szCs w:val="32"/>
        </w:rPr>
        <w:t>期间，我市始终坚持“最严格的监管”，严查严处了一批食品安全违法犯罪，建立了行刑衔接和依法治理工作机制，综合采用行政处罚、刑事制裁、公益诉讼、民事赔偿等法律手段制裁食品安全违法犯罪。自</w:t>
      </w:r>
      <w:r>
        <w:rPr>
          <w:rFonts w:eastAsia="仿宋_GB2312" w:cs="仿宋"/>
          <w:color w:val="auto"/>
          <w:sz w:val="32"/>
          <w:szCs w:val="32"/>
        </w:rPr>
        <w:t>2018</w:t>
      </w:r>
      <w:r>
        <w:rPr>
          <w:rFonts w:hint="eastAsia" w:eastAsia="仿宋_GB2312" w:cs="仿宋"/>
          <w:color w:val="auto"/>
          <w:sz w:val="32"/>
          <w:szCs w:val="32"/>
        </w:rPr>
        <w:t>年</w:t>
      </w:r>
      <w:r>
        <w:rPr>
          <w:rFonts w:eastAsia="仿宋_GB2312" w:cs="仿宋"/>
          <w:color w:val="auto"/>
          <w:sz w:val="32"/>
          <w:szCs w:val="32"/>
        </w:rPr>
        <w:t>9</w:t>
      </w:r>
      <w:r>
        <w:rPr>
          <w:rFonts w:hint="eastAsia" w:eastAsia="仿宋_GB2312" w:cs="仿宋"/>
          <w:color w:val="auto"/>
          <w:sz w:val="32"/>
          <w:szCs w:val="32"/>
        </w:rPr>
        <w:t>月我市检察机关提起全省首例食品安全公益诉讼，至今已提起食品药品公益诉讼</w:t>
      </w:r>
      <w:r>
        <w:rPr>
          <w:rFonts w:eastAsia="仿宋_GB2312" w:cs="仿宋"/>
          <w:color w:val="auto"/>
          <w:sz w:val="32"/>
          <w:szCs w:val="32"/>
        </w:rPr>
        <w:t>14</w:t>
      </w:r>
      <w:r>
        <w:rPr>
          <w:rFonts w:hint="eastAsia" w:eastAsia="仿宋_GB2312" w:cs="仿宋"/>
          <w:color w:val="auto"/>
          <w:sz w:val="32"/>
          <w:szCs w:val="32"/>
        </w:rPr>
        <w:t>件。</w:t>
      </w:r>
      <w:r>
        <w:rPr>
          <w:rFonts w:hint="eastAsia" w:eastAsia="仿宋_GB2312" w:cs="仿宋"/>
          <w:color w:val="auto"/>
          <w:sz w:val="32"/>
          <w:szCs w:val="32"/>
          <w:highlight w:val="none"/>
        </w:rPr>
        <w:t>“十三五”期间，我市共</w:t>
      </w:r>
      <w:r>
        <w:rPr>
          <w:rFonts w:hint="eastAsia" w:eastAsia="仿宋_GB2312" w:cs="仿宋"/>
          <w:color w:val="auto"/>
          <w:sz w:val="32"/>
          <w:szCs w:val="32"/>
          <w:highlight w:val="none"/>
          <w:lang w:val="en-US" w:eastAsia="zh-CN"/>
        </w:rPr>
        <w:t>办结农产品质量安全案件193件，案值377.075万元，罚没款共计150.83万元；全市市场监管系统查办食品安全案件 7310件，案值1165.78元，罚没款共计8113.54万元；</w:t>
      </w:r>
      <w:r>
        <w:rPr>
          <w:rFonts w:hint="eastAsia" w:eastAsia="仿宋_GB2312" w:cs="仿宋"/>
          <w:color w:val="auto"/>
          <w:sz w:val="32"/>
          <w:szCs w:val="32"/>
          <w:highlight w:val="none"/>
        </w:rPr>
        <w:t>全市公安机关共办理涉食品安全刑事案件110起，抓获犯罪嫌疑人211人，刑事拘留122人，逮捕76人，移送起诉99人。通过</w:t>
      </w:r>
      <w:r>
        <w:rPr>
          <w:rFonts w:hint="eastAsia" w:eastAsia="仿宋_GB2312" w:cs="仿宋"/>
          <w:color w:val="auto"/>
          <w:sz w:val="32"/>
          <w:szCs w:val="32"/>
        </w:rPr>
        <w:t>健全长效机制预防食品安全违法行为，强化监管与“行刑衔接”，构建了打防并举的综合治理格局。</w:t>
      </w:r>
    </w:p>
    <w:p>
      <w:pPr>
        <w:spacing w:line="560" w:lineRule="exact"/>
        <w:ind w:firstLine="643" w:firstLineChars="200"/>
        <w:outlineLvl w:val="1"/>
        <w:rPr>
          <w:rFonts w:ascii="楷体" w:hAnsi="楷体" w:eastAsia="楷体" w:cs="楷体"/>
          <w:b/>
          <w:bCs/>
          <w:color w:val="auto"/>
          <w:sz w:val="32"/>
          <w:szCs w:val="32"/>
        </w:rPr>
      </w:pPr>
      <w:bookmarkStart w:id="114" w:name="_Toc27982"/>
      <w:bookmarkStart w:id="115" w:name="_Toc26306"/>
      <w:bookmarkStart w:id="116" w:name="_Toc28622"/>
      <w:bookmarkStart w:id="117" w:name="_Toc14409"/>
      <w:bookmarkStart w:id="118" w:name="_Toc1894"/>
      <w:bookmarkStart w:id="119" w:name="_Toc29847"/>
      <w:bookmarkStart w:id="120" w:name="_Toc26224"/>
      <w:bookmarkStart w:id="121" w:name="_Toc5707"/>
      <w:bookmarkStart w:id="122" w:name="_Toc18011"/>
      <w:bookmarkStart w:id="123" w:name="_Toc32091"/>
      <w:bookmarkStart w:id="124" w:name="_Toc7542"/>
      <w:r>
        <w:rPr>
          <w:rFonts w:hint="eastAsia" w:ascii="楷体" w:hAnsi="楷体" w:eastAsia="楷体" w:cs="楷体"/>
          <w:b/>
          <w:bCs/>
          <w:color w:val="auto"/>
          <w:sz w:val="32"/>
          <w:szCs w:val="32"/>
        </w:rPr>
        <w:t>（十）完善应急体系</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提升了风险防控能力</w:t>
      </w:r>
      <w:bookmarkEnd w:id="114"/>
      <w:bookmarkEnd w:id="115"/>
      <w:bookmarkEnd w:id="116"/>
      <w:bookmarkEnd w:id="117"/>
      <w:bookmarkEnd w:id="118"/>
      <w:bookmarkEnd w:id="119"/>
      <w:bookmarkEnd w:id="120"/>
      <w:bookmarkEnd w:id="121"/>
      <w:bookmarkEnd w:id="122"/>
      <w:bookmarkEnd w:id="123"/>
      <w:bookmarkEnd w:id="124"/>
    </w:p>
    <w:p>
      <w:pPr>
        <w:spacing w:line="560" w:lineRule="exact"/>
        <w:ind w:firstLine="640" w:firstLineChars="200"/>
        <w:rPr>
          <w:rFonts w:hint="eastAsia" w:eastAsia="仿宋_GB2312" w:cs="仿宋"/>
          <w:color w:val="auto"/>
          <w:sz w:val="32"/>
          <w:szCs w:val="32"/>
        </w:rPr>
      </w:pPr>
      <w:r>
        <w:rPr>
          <w:rFonts w:hint="eastAsia" w:eastAsia="仿宋_GB2312" w:cs="仿宋"/>
          <w:color w:val="auto"/>
          <w:sz w:val="32"/>
          <w:szCs w:val="32"/>
        </w:rPr>
        <w:t>“十三五”期间，我市进一步完善了应急预案体系，健全了突发性食品安全事件跟踪、督查、处理、报告、回访和重大事故责任追究机制。进一步强化了食品安全舆情监测研判，逐级开展了食品安全事件应急演练，有效提升了我市食品安全风险防控能力。“十三五”期间，我市等级事故保持零记录，全市未发生区域性、系统性食品生产经营环节食品安全事故。</w:t>
      </w: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pStyle w:val="15"/>
        <w:spacing w:line="560" w:lineRule="exact"/>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附表1</w:t>
      </w:r>
    </w:p>
    <w:p>
      <w:pPr>
        <w:pStyle w:val="15"/>
        <w:spacing w:line="560" w:lineRule="exact"/>
        <w:ind w:left="0" w:leftChars="0" w:firstLine="0" w:firstLineChars="0"/>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“十三五”规划主要指标完成情况</w:t>
      </w:r>
    </w:p>
    <w:tbl>
      <w:tblPr>
        <w:tblStyle w:val="16"/>
        <w:tblW w:w="87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2486"/>
        <w:gridCol w:w="2078"/>
        <w:gridCol w:w="1525"/>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blHeader/>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b/>
                <w:bCs/>
                <w:sz w:val="24"/>
                <w:szCs w:val="24"/>
                <w:highlight w:val="none"/>
                <w:lang w:val="en-US" w:eastAsia="zh-CN"/>
              </w:rPr>
            </w:pPr>
            <w:bookmarkStart w:id="125" w:name="_Toc61273517"/>
            <w:r>
              <w:rPr>
                <w:rFonts w:hint="eastAsia" w:eastAsia="仿宋_GB2312"/>
                <w:b/>
                <w:bCs/>
                <w:sz w:val="24"/>
                <w:szCs w:val="24"/>
                <w:highlight w:val="none"/>
                <w:lang w:val="en-US" w:eastAsia="zh-CN"/>
              </w:rPr>
              <w:t>序号</w:t>
            </w:r>
          </w:p>
        </w:tc>
        <w:tc>
          <w:tcPr>
            <w:tcW w:w="2486" w:type="dxa"/>
            <w:shd w:val="clear" w:color="auto" w:fill="auto"/>
            <w:vAlign w:val="center"/>
          </w:tcPr>
          <w:p>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指标</w:t>
            </w:r>
          </w:p>
        </w:tc>
        <w:tc>
          <w:tcPr>
            <w:tcW w:w="2078" w:type="dxa"/>
            <w:shd w:val="clear" w:color="auto" w:fill="auto"/>
            <w:vAlign w:val="center"/>
          </w:tcPr>
          <w:p>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2020年规划目标</w:t>
            </w:r>
          </w:p>
        </w:tc>
        <w:tc>
          <w:tcPr>
            <w:tcW w:w="1525" w:type="dxa"/>
            <w:shd w:val="clear" w:color="auto" w:fill="auto"/>
            <w:vAlign w:val="center"/>
          </w:tcPr>
          <w:p>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完成情况</w:t>
            </w:r>
          </w:p>
        </w:tc>
        <w:tc>
          <w:tcPr>
            <w:tcW w:w="1544" w:type="dxa"/>
            <w:shd w:val="clear" w:color="auto" w:fill="auto"/>
            <w:vAlign w:val="center"/>
          </w:tcPr>
          <w:p>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1</w:t>
            </w:r>
          </w:p>
        </w:tc>
        <w:tc>
          <w:tcPr>
            <w:tcW w:w="2486"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人民群众对食品药品安全形势满意率</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稳定在</w:t>
            </w:r>
            <w:r>
              <w:rPr>
                <w:rFonts w:eastAsia="仿宋_GB2312"/>
                <w:sz w:val="24"/>
                <w:szCs w:val="24"/>
                <w:highlight w:val="none"/>
              </w:rPr>
              <w:t>85%以上</w:t>
            </w:r>
          </w:p>
        </w:tc>
        <w:tc>
          <w:tcPr>
            <w:tcW w:w="1525"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2</w:t>
            </w:r>
          </w:p>
        </w:tc>
        <w:tc>
          <w:tcPr>
            <w:tcW w:w="2486"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市级食品药品检验检测中心检验检测综</w:t>
            </w:r>
            <w:r>
              <w:rPr>
                <w:rFonts w:hint="eastAsia" w:eastAsia="仿宋_GB2312"/>
                <w:sz w:val="24"/>
                <w:szCs w:val="24"/>
                <w:highlight w:val="none"/>
              </w:rPr>
              <w:t xml:space="preserve"> 对</w:t>
            </w:r>
            <w:r>
              <w:rPr>
                <w:rFonts w:eastAsia="仿宋_GB2312"/>
                <w:sz w:val="24"/>
                <w:szCs w:val="24"/>
                <w:highlight w:val="none"/>
              </w:rPr>
              <w:t>食品、保健食品检验能力</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85%</w:t>
            </w:r>
          </w:p>
        </w:tc>
        <w:tc>
          <w:tcPr>
            <w:tcW w:w="1525"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3</w:t>
            </w:r>
          </w:p>
        </w:tc>
        <w:tc>
          <w:tcPr>
            <w:tcW w:w="2486"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区域性县级食品药品检验机构对食品、保健食品检验能力</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70%</w:t>
            </w:r>
          </w:p>
        </w:tc>
        <w:tc>
          <w:tcPr>
            <w:tcW w:w="1525"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4</w:t>
            </w:r>
          </w:p>
        </w:tc>
        <w:tc>
          <w:tcPr>
            <w:tcW w:w="2486"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重点建设的县级食品检验机构对食品检测能力</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70%</w:t>
            </w:r>
          </w:p>
        </w:tc>
        <w:tc>
          <w:tcPr>
            <w:tcW w:w="1525"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rPr>
            </w:pPr>
            <w:r>
              <w:rPr>
                <w:rFonts w:hint="eastAsia" w:eastAsia="仿宋_GB2312"/>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5</w:t>
            </w:r>
          </w:p>
        </w:tc>
        <w:tc>
          <w:tcPr>
            <w:tcW w:w="2486"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县级食品检验室对常用食品快检能力</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100%</w:t>
            </w:r>
          </w:p>
        </w:tc>
        <w:tc>
          <w:tcPr>
            <w:tcW w:w="1525"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rPr>
            </w:pPr>
            <w:r>
              <w:rPr>
                <w:rFonts w:hint="eastAsia" w:eastAsia="仿宋_GB2312"/>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6</w:t>
            </w:r>
          </w:p>
        </w:tc>
        <w:tc>
          <w:tcPr>
            <w:tcW w:w="2486"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食品抽检样品数</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4批次/</w:t>
            </w:r>
            <w:r>
              <w:rPr>
                <w:rFonts w:hint="eastAsia" w:eastAsia="仿宋_GB2312"/>
                <w:sz w:val="24"/>
                <w:szCs w:val="24"/>
                <w:highlight w:val="none"/>
                <w:lang w:eastAsia="zh-CN"/>
              </w:rPr>
              <w:t>千</w:t>
            </w:r>
            <w:r>
              <w:rPr>
                <w:rFonts w:eastAsia="仿宋_GB2312"/>
                <w:sz w:val="24"/>
                <w:szCs w:val="24"/>
                <w:highlight w:val="none"/>
              </w:rPr>
              <w:t>人口</w:t>
            </w:r>
          </w:p>
        </w:tc>
        <w:tc>
          <w:tcPr>
            <w:tcW w:w="1525"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7</w:t>
            </w:r>
          </w:p>
        </w:tc>
        <w:tc>
          <w:tcPr>
            <w:tcW w:w="2486"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全市年食品安全事故率</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控制在4.5人/百万人口以</w:t>
            </w:r>
          </w:p>
        </w:tc>
        <w:tc>
          <w:tcPr>
            <w:tcW w:w="1525" w:type="dxa"/>
            <w:shd w:val="clear" w:color="auto" w:fill="auto"/>
            <w:vAlign w:val="center"/>
          </w:tcPr>
          <w:p>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8</w:t>
            </w:r>
          </w:p>
        </w:tc>
        <w:tc>
          <w:tcPr>
            <w:tcW w:w="2486"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重大食品药品安全事故处置率</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达到100％</w:t>
            </w:r>
          </w:p>
        </w:tc>
        <w:tc>
          <w:tcPr>
            <w:tcW w:w="1525"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9</w:t>
            </w:r>
          </w:p>
        </w:tc>
        <w:tc>
          <w:tcPr>
            <w:tcW w:w="2486"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食品药品安全信息化智能化监管平台</w:t>
            </w:r>
          </w:p>
        </w:tc>
        <w:tc>
          <w:tcPr>
            <w:tcW w:w="2078"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全面建成并投入使用</w:t>
            </w:r>
          </w:p>
        </w:tc>
        <w:tc>
          <w:tcPr>
            <w:tcW w:w="1525"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达到</w:t>
            </w:r>
          </w:p>
        </w:tc>
        <w:tc>
          <w:tcPr>
            <w:tcW w:w="1544" w:type="dxa"/>
            <w:shd w:val="clear" w:color="auto" w:fill="auto"/>
            <w:vAlign w:val="center"/>
          </w:tcPr>
          <w:p>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bl>
    <w:p>
      <w:pPr>
        <w:spacing w:before="156" w:beforeLines="50" w:after="156" w:afterLines="50" w:line="560" w:lineRule="exact"/>
        <w:jc w:val="center"/>
        <w:outlineLvl w:val="0"/>
        <w:rPr>
          <w:rFonts w:hint="default" w:ascii="黑体" w:hAnsi="黑体" w:eastAsia="黑体" w:cs="黑体"/>
          <w:color w:val="auto"/>
          <w:sz w:val="32"/>
          <w:szCs w:val="32"/>
          <w:lang w:val="en-US" w:eastAsia="zh-CN"/>
        </w:rPr>
      </w:pPr>
      <w:r>
        <w:rPr>
          <w:rFonts w:ascii="黑体" w:hAnsi="黑体" w:eastAsia="黑体" w:cs="黑体"/>
          <w:color w:val="auto"/>
          <w:sz w:val="36"/>
          <w:szCs w:val="32"/>
        </w:rPr>
        <w:br w:type="page"/>
      </w:r>
      <w:bookmarkStart w:id="126" w:name="_Toc644"/>
      <w:bookmarkStart w:id="127" w:name="_Toc6643"/>
      <w:bookmarkStart w:id="128" w:name="_Toc16889"/>
      <w:bookmarkStart w:id="129" w:name="_Toc21430"/>
      <w:bookmarkStart w:id="130" w:name="_Toc9281"/>
      <w:bookmarkStart w:id="131" w:name="_Toc18644"/>
      <w:bookmarkStart w:id="132" w:name="_Toc29770"/>
      <w:bookmarkStart w:id="133" w:name="_Toc11056"/>
      <w:bookmarkStart w:id="134" w:name="_Toc1806"/>
      <w:bookmarkStart w:id="135" w:name="_Toc30994"/>
      <w:bookmarkStart w:id="136" w:name="_Toc20662"/>
      <w:r>
        <w:rPr>
          <w:rFonts w:hint="eastAsia" w:ascii="黑体" w:hAnsi="黑体" w:eastAsia="黑体" w:cs="黑体"/>
          <w:color w:val="auto"/>
          <w:sz w:val="32"/>
          <w:szCs w:val="32"/>
        </w:rPr>
        <w:t>二、</w:t>
      </w:r>
      <w:bookmarkEnd w:id="125"/>
      <w:r>
        <w:rPr>
          <w:rFonts w:hint="eastAsia" w:ascii="黑体" w:hAnsi="黑体" w:eastAsia="黑体" w:cs="黑体"/>
          <w:color w:val="auto"/>
          <w:sz w:val="32"/>
          <w:szCs w:val="32"/>
          <w:lang w:val="en-US" w:eastAsia="zh-CN"/>
        </w:rPr>
        <w:t>发展环境</w:t>
      </w:r>
      <w:bookmarkEnd w:id="126"/>
      <w:bookmarkEnd w:id="127"/>
      <w:bookmarkEnd w:id="128"/>
      <w:bookmarkEnd w:id="129"/>
      <w:bookmarkEnd w:id="130"/>
      <w:bookmarkEnd w:id="131"/>
      <w:bookmarkEnd w:id="132"/>
      <w:bookmarkEnd w:id="133"/>
      <w:bookmarkEnd w:id="134"/>
      <w:bookmarkEnd w:id="135"/>
      <w:bookmarkEnd w:id="136"/>
    </w:p>
    <w:p>
      <w:pPr>
        <w:spacing w:line="560" w:lineRule="exact"/>
        <w:ind w:firstLine="640" w:firstLineChars="200"/>
        <w:rPr>
          <w:rFonts w:hint="eastAsia" w:eastAsia="仿宋_GB2312" w:cs="仿宋"/>
          <w:color w:val="auto"/>
          <w:sz w:val="32"/>
          <w:szCs w:val="32"/>
          <w:lang w:val="en-US" w:eastAsia="zh-CN"/>
        </w:rPr>
      </w:pPr>
      <w:r>
        <w:rPr>
          <w:rFonts w:hint="eastAsia" w:eastAsia="仿宋_GB2312" w:cs="仿宋"/>
          <w:color w:val="auto"/>
          <w:sz w:val="32"/>
          <w:szCs w:val="32"/>
          <w:lang w:val="en-US" w:eastAsia="zh-CN"/>
        </w:rPr>
        <w:t>“十四五”时期是我国全面建成小康社会、实现第一个百年奋斗目标之后，乘势而上开启全面建设社会主义现代化国家新征程、向第二个百年奋斗目标进军的第一个五年。也是我市与全国、全省同步全面建设社会主义现代化的开局起步期和推进革命老区高质量跨越式发展的全面加速期。</w:t>
      </w:r>
    </w:p>
    <w:p>
      <w:pPr>
        <w:keepNext w:val="0"/>
        <w:keepLines w:val="0"/>
        <w:pageBreakBefore w:val="0"/>
        <w:kinsoku/>
        <w:wordWrap/>
        <w:overflowPunct/>
        <w:topLinePunct w:val="0"/>
        <w:autoSpaceDE/>
        <w:autoSpaceDN/>
        <w:bidi w:val="0"/>
        <w:adjustRightInd/>
        <w:snapToGrid/>
        <w:spacing w:line="560" w:lineRule="exact"/>
        <w:ind w:leftChars="0" w:firstLine="640" w:firstLineChars="200"/>
        <w:rPr>
          <w:rFonts w:hint="eastAsia" w:eastAsia="仿宋_GB2312" w:cs="仿宋"/>
          <w:color w:val="auto"/>
          <w:sz w:val="32"/>
          <w:szCs w:val="32"/>
          <w:lang w:val="en-US" w:eastAsia="zh-CN"/>
        </w:rPr>
      </w:pPr>
      <w:r>
        <w:rPr>
          <w:rFonts w:hint="eastAsia" w:eastAsia="仿宋_GB2312" w:cs="仿宋"/>
          <w:color w:val="auto"/>
          <w:sz w:val="32"/>
          <w:szCs w:val="32"/>
          <w:lang w:val="en-US" w:eastAsia="zh-CN"/>
        </w:rPr>
        <w:t>国家加快构建新发展格局，大力实施粤港澳大湾区建设，长江经济带发展、中部地区崛起等国家战略，国务院出台《关于新时代支持革命老区振兴发展的意见》，省委、省政府支持赣州打造对接融入粤港澳大湾区桥头堡和建设省域副中心城市，我市发展优势更加凸显，发展前景广阔。当前和今后一个时期，世界百年未有之大变局深度演化和我国社会主义现代化建设新征程开局开步相互交融，我市经济发展的内在支撑条件和外部需求环境发生深刻变化，食品安全也面临着新情况、新挑战、新要求。</w:t>
      </w:r>
    </w:p>
    <w:p>
      <w:pPr>
        <w:spacing w:line="560" w:lineRule="exact"/>
        <w:ind w:firstLine="643" w:firstLineChars="200"/>
        <w:rPr>
          <w:rFonts w:hint="eastAsia" w:eastAsia="仿宋_GB2312" w:cs="仿宋"/>
          <w:color w:val="auto"/>
          <w:sz w:val="32"/>
          <w:szCs w:val="32"/>
          <w:lang w:eastAsia="zh-CN"/>
        </w:rPr>
      </w:pPr>
      <w:r>
        <w:rPr>
          <w:rFonts w:hint="eastAsia" w:ascii="楷体" w:hAnsi="楷体" w:eastAsia="楷体" w:cs="楷体"/>
          <w:b/>
          <w:bCs/>
          <w:color w:val="auto"/>
          <w:sz w:val="32"/>
          <w:szCs w:val="32"/>
          <w:lang w:val="en-US" w:eastAsia="zh-CN"/>
        </w:rPr>
        <w:t>（一）食品安全形势错综复杂。</w:t>
      </w:r>
      <w:r>
        <w:rPr>
          <w:rFonts w:hint="eastAsia" w:eastAsia="仿宋_GB2312" w:cs="仿宋"/>
          <w:color w:val="auto"/>
          <w:sz w:val="32"/>
          <w:szCs w:val="32"/>
          <w:lang w:val="en-US" w:eastAsia="zh-CN"/>
        </w:rPr>
        <w:t>全球新冠疫情影响广泛深远，对食品产业尤其是冷链食品及餐饮行业的影响和冲击不容忽视。我市城乡等区域的食品安全状况和水平的不平衡不充分的问题依然突出，食品产业发展水平不高，</w:t>
      </w:r>
      <w:r>
        <w:rPr>
          <w:rFonts w:hint="eastAsia" w:eastAsia="仿宋_GB2312" w:cs="仿宋"/>
          <w:color w:val="auto"/>
          <w:sz w:val="32"/>
          <w:szCs w:val="32"/>
        </w:rPr>
        <w:t>“四小”行业点多面广风险大</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食品行业发展、</w:t>
      </w:r>
      <w:r>
        <w:rPr>
          <w:rFonts w:hint="eastAsia" w:eastAsia="仿宋_GB2312" w:cs="仿宋"/>
          <w:color w:val="auto"/>
          <w:sz w:val="32"/>
          <w:szCs w:val="32"/>
        </w:rPr>
        <w:t>食品安全治理能力现代化</w:t>
      </w:r>
      <w:r>
        <w:rPr>
          <w:rFonts w:hint="eastAsia" w:eastAsia="仿宋_GB2312" w:cs="仿宋"/>
          <w:color w:val="auto"/>
          <w:sz w:val="32"/>
          <w:szCs w:val="32"/>
          <w:lang w:val="en-US" w:eastAsia="zh-CN"/>
        </w:rPr>
        <w:t>任重道远；</w:t>
      </w:r>
    </w:p>
    <w:p>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二</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食品安全监管能力亟待提升。</w:t>
      </w:r>
      <w:r>
        <w:rPr>
          <w:rFonts w:hint="eastAsia" w:eastAsia="仿宋_GB2312" w:cs="仿宋"/>
          <w:color w:val="auto"/>
          <w:sz w:val="32"/>
          <w:szCs w:val="32"/>
          <w:lang w:val="en-US" w:eastAsia="zh-CN"/>
        </w:rPr>
        <w:t>我市食品安全监管建立了市、乡、村三级监管模式，但</w:t>
      </w:r>
      <w:r>
        <w:rPr>
          <w:rFonts w:hint="eastAsia" w:eastAsia="仿宋_GB2312" w:cs="仿宋"/>
          <w:color w:val="auto"/>
          <w:sz w:val="32"/>
          <w:szCs w:val="32"/>
        </w:rPr>
        <w:t>食品</w:t>
      </w:r>
      <w:r>
        <w:rPr>
          <w:rFonts w:hint="eastAsia" w:eastAsia="仿宋_GB2312" w:cs="仿宋"/>
          <w:color w:val="auto"/>
          <w:sz w:val="32"/>
          <w:szCs w:val="32"/>
          <w:lang w:val="en-US" w:eastAsia="zh-CN"/>
        </w:rPr>
        <w:t>安全</w:t>
      </w:r>
      <w:r>
        <w:rPr>
          <w:rFonts w:hint="eastAsia" w:eastAsia="仿宋_GB2312" w:cs="仿宋"/>
          <w:color w:val="auto"/>
          <w:sz w:val="32"/>
          <w:szCs w:val="32"/>
        </w:rPr>
        <w:t>监管</w:t>
      </w:r>
      <w:r>
        <w:rPr>
          <w:rFonts w:hint="eastAsia" w:eastAsia="仿宋_GB2312" w:cs="仿宋"/>
          <w:color w:val="auto"/>
          <w:sz w:val="32"/>
          <w:szCs w:val="32"/>
          <w:lang w:val="en-US" w:eastAsia="zh-CN"/>
        </w:rPr>
        <w:t>能力与食品安全的要求还有较大差距。我市食品安全监管力量</w:t>
      </w:r>
      <w:r>
        <w:rPr>
          <w:rFonts w:hint="eastAsia" w:eastAsia="仿宋_GB2312" w:cs="仿宋"/>
          <w:color w:val="auto"/>
          <w:sz w:val="32"/>
          <w:szCs w:val="32"/>
        </w:rPr>
        <w:t>总体不足，基层监管能力薄弱，食品</w:t>
      </w:r>
      <w:r>
        <w:rPr>
          <w:rFonts w:hint="eastAsia" w:eastAsia="仿宋_GB2312" w:cs="仿宋"/>
          <w:color w:val="auto"/>
          <w:sz w:val="32"/>
          <w:szCs w:val="32"/>
          <w:lang w:val="en-US" w:eastAsia="zh-CN"/>
        </w:rPr>
        <w:t>安全</w:t>
      </w:r>
      <w:r>
        <w:rPr>
          <w:rFonts w:hint="eastAsia" w:eastAsia="仿宋_GB2312" w:cs="仿宋"/>
          <w:color w:val="auto"/>
          <w:sz w:val="32"/>
          <w:szCs w:val="32"/>
        </w:rPr>
        <w:t>监管编制少、空编多，人少事多任务重的矛盾突出；</w:t>
      </w:r>
    </w:p>
    <w:p>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三</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检测机构有待增资扩项。</w:t>
      </w:r>
      <w:r>
        <w:rPr>
          <w:rFonts w:hint="eastAsia" w:eastAsia="仿宋_GB2312" w:cs="仿宋"/>
          <w:color w:val="auto"/>
          <w:sz w:val="32"/>
          <w:szCs w:val="32"/>
          <w:lang w:val="en-US" w:eastAsia="zh-CN"/>
        </w:rPr>
        <w:t>我市</w:t>
      </w:r>
      <w:r>
        <w:rPr>
          <w:rFonts w:hint="eastAsia" w:eastAsia="仿宋_GB2312" w:cs="仿宋"/>
          <w:color w:val="auto"/>
          <w:sz w:val="32"/>
          <w:szCs w:val="32"/>
        </w:rPr>
        <w:t>现有</w:t>
      </w:r>
      <w:r>
        <w:rPr>
          <w:rFonts w:hint="eastAsia" w:eastAsia="仿宋_GB2312" w:cs="仿宋"/>
          <w:color w:val="auto"/>
          <w:sz w:val="32"/>
          <w:szCs w:val="32"/>
          <w:lang w:val="en-US" w:eastAsia="zh-CN"/>
        </w:rPr>
        <w:t>的</w:t>
      </w:r>
      <w:r>
        <w:rPr>
          <w:rFonts w:hint="eastAsia" w:eastAsia="仿宋_GB2312" w:cs="仿宋"/>
          <w:color w:val="auto"/>
          <w:sz w:val="32"/>
          <w:szCs w:val="32"/>
        </w:rPr>
        <w:t>食品检验</w:t>
      </w:r>
      <w:r>
        <w:rPr>
          <w:rFonts w:hint="eastAsia" w:eastAsia="仿宋_GB2312" w:cs="仿宋"/>
          <w:color w:val="auto"/>
          <w:sz w:val="32"/>
          <w:szCs w:val="32"/>
          <w:lang w:val="en-US" w:eastAsia="zh-CN"/>
        </w:rPr>
        <w:t>检测</w:t>
      </w:r>
      <w:r>
        <w:rPr>
          <w:rFonts w:hint="eastAsia" w:eastAsia="仿宋_GB2312" w:cs="仿宋"/>
          <w:color w:val="auto"/>
          <w:sz w:val="32"/>
          <w:szCs w:val="32"/>
        </w:rPr>
        <w:t>能力</w:t>
      </w:r>
      <w:r>
        <w:rPr>
          <w:rFonts w:hint="eastAsia" w:eastAsia="仿宋_GB2312" w:cs="仿宋"/>
          <w:color w:val="auto"/>
          <w:sz w:val="32"/>
          <w:szCs w:val="32"/>
          <w:lang w:val="en-US" w:eastAsia="zh-CN"/>
        </w:rPr>
        <w:t>与</w:t>
      </w:r>
      <w:r>
        <w:rPr>
          <w:rFonts w:hint="eastAsia" w:eastAsia="仿宋_GB2312" w:cs="仿宋"/>
          <w:color w:val="auto"/>
          <w:sz w:val="32"/>
          <w:szCs w:val="32"/>
        </w:rPr>
        <w:t>检验要求之间有较大差距</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构建全市食品和食用农产品质量安全检验检测体系、完善食品安全快速检测工作，是应对新形势下食品安全要求的有力保障</w:t>
      </w:r>
      <w:r>
        <w:rPr>
          <w:rFonts w:hint="eastAsia" w:eastAsia="仿宋_GB2312" w:cs="仿宋"/>
          <w:color w:val="auto"/>
          <w:sz w:val="32"/>
          <w:szCs w:val="32"/>
        </w:rPr>
        <w:t>；</w:t>
      </w:r>
    </w:p>
    <w:p>
      <w:pPr>
        <w:spacing w:line="560" w:lineRule="exact"/>
        <w:ind w:firstLine="643" w:firstLineChars="200"/>
        <w:rPr>
          <w:rFonts w:hint="eastAsia" w:eastAsia="仿宋_GB2312" w:cs="仿宋"/>
          <w:color w:val="auto"/>
          <w:sz w:val="32"/>
          <w:szCs w:val="32"/>
          <w:lang w:eastAsia="zh-CN"/>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四</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主体责任意识需要强化。</w:t>
      </w:r>
      <w:r>
        <w:rPr>
          <w:rFonts w:hint="eastAsia" w:eastAsia="仿宋_GB2312" w:cs="仿宋"/>
          <w:color w:val="auto"/>
          <w:sz w:val="32"/>
          <w:szCs w:val="32"/>
        </w:rPr>
        <w:t>部分</w:t>
      </w:r>
      <w:r>
        <w:rPr>
          <w:rFonts w:hint="eastAsia" w:eastAsia="仿宋_GB2312" w:cs="仿宋"/>
          <w:color w:val="auto"/>
          <w:sz w:val="32"/>
          <w:szCs w:val="32"/>
          <w:lang w:val="en-US" w:eastAsia="zh-CN"/>
        </w:rPr>
        <w:t>食品</w:t>
      </w:r>
      <w:r>
        <w:rPr>
          <w:rFonts w:hint="eastAsia" w:eastAsia="仿宋_GB2312" w:cs="仿宋"/>
          <w:color w:val="auto"/>
          <w:sz w:val="32"/>
          <w:szCs w:val="32"/>
        </w:rPr>
        <w:t>生产经营者主体</w:t>
      </w:r>
      <w:r>
        <w:rPr>
          <w:rFonts w:hint="eastAsia" w:eastAsia="仿宋_GB2312" w:cs="仿宋"/>
          <w:color w:val="auto"/>
          <w:sz w:val="32"/>
          <w:szCs w:val="32"/>
          <w:lang w:val="en-US" w:eastAsia="zh-CN"/>
        </w:rPr>
        <w:t>责任意识不强</w:t>
      </w:r>
      <w:r>
        <w:rPr>
          <w:rFonts w:hint="eastAsia" w:eastAsia="仿宋_GB2312" w:cs="仿宋"/>
          <w:color w:val="auto"/>
          <w:sz w:val="32"/>
          <w:szCs w:val="32"/>
        </w:rPr>
        <w:t>，</w:t>
      </w:r>
      <w:r>
        <w:rPr>
          <w:rFonts w:hint="eastAsia" w:eastAsia="仿宋_GB2312" w:cs="仿宋"/>
          <w:color w:val="auto"/>
          <w:sz w:val="32"/>
          <w:szCs w:val="32"/>
          <w:lang w:val="en-US" w:eastAsia="zh-CN"/>
        </w:rPr>
        <w:t>法律观念淡薄，食品安全知识水平缺乏、</w:t>
      </w:r>
      <w:r>
        <w:rPr>
          <w:rFonts w:hint="eastAsia" w:eastAsia="仿宋_GB2312" w:cs="仿宋"/>
          <w:color w:val="auto"/>
          <w:sz w:val="32"/>
          <w:szCs w:val="32"/>
        </w:rPr>
        <w:t>落实食品安全生产经营管理制度不到位</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与法律要求差距较大</w:t>
      </w:r>
      <w:r>
        <w:rPr>
          <w:rFonts w:hint="eastAsia" w:eastAsia="仿宋_GB2312" w:cs="仿宋"/>
          <w:color w:val="auto"/>
          <w:sz w:val="32"/>
          <w:szCs w:val="32"/>
          <w:lang w:eastAsia="zh-CN"/>
        </w:rPr>
        <w:t>。</w:t>
      </w:r>
    </w:p>
    <w:p>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五</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rPr>
        <w:t>食品</w:t>
      </w:r>
      <w:r>
        <w:rPr>
          <w:rFonts w:hint="eastAsia" w:ascii="楷体" w:hAnsi="楷体" w:eastAsia="楷体" w:cs="楷体"/>
          <w:b/>
          <w:bCs/>
          <w:color w:val="auto"/>
          <w:sz w:val="32"/>
          <w:szCs w:val="32"/>
          <w:lang w:val="en-US" w:eastAsia="zh-CN"/>
        </w:rPr>
        <w:t>行业</w:t>
      </w:r>
      <w:r>
        <w:rPr>
          <w:rFonts w:hint="eastAsia" w:ascii="楷体" w:hAnsi="楷体" w:eastAsia="楷体" w:cs="楷体"/>
          <w:b/>
          <w:bCs/>
          <w:color w:val="auto"/>
          <w:sz w:val="32"/>
          <w:szCs w:val="32"/>
        </w:rPr>
        <w:t>新业态</w:t>
      </w:r>
      <w:r>
        <w:rPr>
          <w:rFonts w:hint="eastAsia" w:ascii="楷体" w:hAnsi="楷体" w:eastAsia="楷体" w:cs="楷体"/>
          <w:b/>
          <w:bCs/>
          <w:color w:val="auto"/>
          <w:sz w:val="32"/>
          <w:szCs w:val="32"/>
          <w:lang w:val="en-US" w:eastAsia="zh-CN"/>
        </w:rPr>
        <w:t>层出不穷</w:t>
      </w:r>
      <w:r>
        <w:rPr>
          <w:rFonts w:hint="eastAsia" w:ascii="楷体" w:hAnsi="楷体" w:eastAsia="楷体" w:cs="楷体"/>
          <w:b/>
          <w:bCs/>
          <w:color w:val="auto"/>
          <w:sz w:val="32"/>
          <w:szCs w:val="32"/>
        </w:rPr>
        <w:t>。</w:t>
      </w:r>
      <w:r>
        <w:rPr>
          <w:rFonts w:hint="eastAsia" w:eastAsia="仿宋_GB2312" w:cs="仿宋"/>
          <w:color w:val="auto"/>
          <w:sz w:val="32"/>
          <w:szCs w:val="32"/>
        </w:rPr>
        <w:t>随着新技术、新业态、新模式的发展</w:t>
      </w:r>
      <w:r>
        <w:rPr>
          <w:rFonts w:eastAsia="仿宋_GB2312" w:cs="仿宋"/>
          <w:color w:val="auto"/>
          <w:sz w:val="32"/>
          <w:szCs w:val="32"/>
        </w:rPr>
        <w:t xml:space="preserve">, </w:t>
      </w:r>
      <w:r>
        <w:rPr>
          <w:rFonts w:hint="eastAsia" w:eastAsia="仿宋_GB2312" w:cs="仿宋"/>
          <w:color w:val="auto"/>
          <w:sz w:val="32"/>
          <w:szCs w:val="32"/>
        </w:rPr>
        <w:t>食品产业的生产经营方式呈现出智能化、网络化等特点</w:t>
      </w:r>
      <w:r>
        <w:rPr>
          <w:rFonts w:eastAsia="仿宋_GB2312" w:cs="仿宋"/>
          <w:color w:val="auto"/>
          <w:sz w:val="32"/>
          <w:szCs w:val="32"/>
        </w:rPr>
        <w:t xml:space="preserve">, </w:t>
      </w:r>
      <w:r>
        <w:rPr>
          <w:rFonts w:hint="eastAsia" w:eastAsia="仿宋_GB2312" w:cs="仿宋"/>
          <w:color w:val="auto"/>
          <w:sz w:val="32"/>
          <w:szCs w:val="32"/>
        </w:rPr>
        <w:t>尤其是网络订餐、食品网络销售等安全风险点更加隐蔽分散</w:t>
      </w:r>
      <w:r>
        <w:rPr>
          <w:rFonts w:eastAsia="仿宋_GB2312" w:cs="仿宋"/>
          <w:color w:val="auto"/>
          <w:sz w:val="32"/>
          <w:szCs w:val="32"/>
        </w:rPr>
        <w:t xml:space="preserve">, </w:t>
      </w:r>
      <w:r>
        <w:rPr>
          <w:rFonts w:hint="eastAsia" w:eastAsia="仿宋_GB2312" w:cs="仿宋"/>
          <w:color w:val="auto"/>
          <w:sz w:val="32"/>
          <w:szCs w:val="32"/>
        </w:rPr>
        <w:t>对传统的监管手段提出了诸多挑战。</w:t>
      </w:r>
    </w:p>
    <w:p>
      <w:pPr>
        <w:spacing w:before="156" w:beforeLines="50" w:after="156" w:afterLines="50" w:line="560" w:lineRule="exact"/>
        <w:jc w:val="center"/>
        <w:outlineLvl w:val="0"/>
        <w:rPr>
          <w:rFonts w:ascii="黑体" w:hAnsi="黑体" w:eastAsia="黑体" w:cs="黑体"/>
          <w:color w:val="auto"/>
          <w:sz w:val="32"/>
          <w:szCs w:val="32"/>
        </w:rPr>
      </w:pPr>
      <w:bookmarkStart w:id="137" w:name="_Toc61273518"/>
    </w:p>
    <w:p>
      <w:pPr>
        <w:spacing w:before="156" w:beforeLines="50" w:after="156" w:afterLines="50" w:line="560" w:lineRule="exact"/>
        <w:jc w:val="center"/>
        <w:outlineLvl w:val="0"/>
        <w:rPr>
          <w:rFonts w:ascii="黑体" w:hAnsi="黑体" w:eastAsia="黑体" w:cs="黑体"/>
          <w:color w:val="auto"/>
          <w:sz w:val="32"/>
          <w:szCs w:val="32"/>
        </w:rPr>
      </w:pPr>
    </w:p>
    <w:p>
      <w:pPr>
        <w:spacing w:before="156" w:beforeLines="50" w:after="156" w:afterLines="50" w:line="560" w:lineRule="exact"/>
        <w:jc w:val="center"/>
        <w:outlineLvl w:val="0"/>
        <w:rPr>
          <w:rFonts w:ascii="黑体" w:hAnsi="黑体" w:eastAsia="黑体" w:cs="黑体"/>
          <w:color w:val="auto"/>
          <w:sz w:val="32"/>
          <w:szCs w:val="32"/>
        </w:rPr>
      </w:pPr>
    </w:p>
    <w:p>
      <w:pPr>
        <w:spacing w:before="156" w:beforeLines="50" w:after="156" w:afterLines="50" w:line="560" w:lineRule="exact"/>
        <w:jc w:val="center"/>
        <w:outlineLvl w:val="0"/>
        <w:rPr>
          <w:rFonts w:ascii="黑体" w:hAnsi="黑体" w:eastAsia="黑体" w:cs="黑体"/>
          <w:color w:val="auto"/>
          <w:sz w:val="32"/>
          <w:szCs w:val="32"/>
        </w:rPr>
      </w:pPr>
    </w:p>
    <w:p>
      <w:pPr>
        <w:spacing w:before="156" w:beforeLines="50" w:after="156" w:afterLines="50" w:line="560" w:lineRule="exact"/>
        <w:jc w:val="center"/>
        <w:outlineLvl w:val="0"/>
        <w:rPr>
          <w:rFonts w:ascii="黑体" w:hAnsi="黑体" w:eastAsia="黑体" w:cs="黑体"/>
          <w:color w:val="auto"/>
          <w:sz w:val="32"/>
          <w:szCs w:val="32"/>
        </w:rPr>
      </w:pPr>
    </w:p>
    <w:p>
      <w:pPr>
        <w:spacing w:before="156" w:beforeLines="50" w:after="156" w:afterLines="50" w:line="560" w:lineRule="exact"/>
        <w:jc w:val="center"/>
        <w:outlineLvl w:val="0"/>
        <w:rPr>
          <w:rFonts w:ascii="黑体" w:hAnsi="黑体" w:eastAsia="黑体" w:cs="黑体"/>
          <w:color w:val="auto"/>
          <w:sz w:val="32"/>
          <w:szCs w:val="32"/>
        </w:rPr>
      </w:pPr>
    </w:p>
    <w:p>
      <w:pPr>
        <w:spacing w:before="156" w:beforeLines="50" w:after="156" w:afterLines="50" w:line="560" w:lineRule="exact"/>
        <w:jc w:val="center"/>
        <w:outlineLvl w:val="0"/>
        <w:rPr>
          <w:rFonts w:ascii="黑体" w:hAnsi="黑体" w:eastAsia="黑体" w:cs="黑体"/>
          <w:color w:val="auto"/>
          <w:sz w:val="32"/>
          <w:szCs w:val="32"/>
        </w:rPr>
      </w:pPr>
    </w:p>
    <w:p>
      <w:pPr>
        <w:spacing w:before="156" w:beforeLines="50" w:after="156" w:afterLines="50" w:line="560" w:lineRule="exact"/>
        <w:jc w:val="center"/>
        <w:outlineLvl w:val="0"/>
        <w:rPr>
          <w:rFonts w:ascii="黑体" w:hAnsi="黑体" w:eastAsia="黑体" w:cs="黑体"/>
          <w:color w:val="auto"/>
          <w:sz w:val="32"/>
          <w:szCs w:val="32"/>
        </w:rPr>
      </w:pPr>
      <w:bookmarkStart w:id="138" w:name="_Toc23802"/>
      <w:bookmarkStart w:id="139" w:name="_Toc5652"/>
      <w:bookmarkStart w:id="140" w:name="_Toc8495"/>
      <w:bookmarkStart w:id="141" w:name="_Toc26893"/>
      <w:bookmarkStart w:id="142" w:name="_Toc31443"/>
      <w:bookmarkStart w:id="143" w:name="_Toc10455"/>
      <w:bookmarkStart w:id="144" w:name="_Toc30886"/>
      <w:bookmarkStart w:id="145" w:name="_Toc23575"/>
      <w:bookmarkStart w:id="146" w:name="_Toc2277"/>
      <w:bookmarkStart w:id="147" w:name="_Toc2398"/>
      <w:bookmarkStart w:id="148" w:name="_Toc16203"/>
      <w:r>
        <w:rPr>
          <w:rFonts w:hint="eastAsia" w:ascii="黑体" w:hAnsi="黑体" w:eastAsia="黑体" w:cs="黑体"/>
          <w:color w:val="auto"/>
          <w:sz w:val="32"/>
          <w:szCs w:val="32"/>
        </w:rPr>
        <w:t>三、总体要求</w:t>
      </w:r>
      <w:bookmarkEnd w:id="137"/>
      <w:bookmarkEnd w:id="138"/>
      <w:bookmarkEnd w:id="139"/>
      <w:bookmarkEnd w:id="140"/>
      <w:bookmarkEnd w:id="141"/>
      <w:bookmarkEnd w:id="142"/>
      <w:bookmarkEnd w:id="143"/>
      <w:bookmarkEnd w:id="144"/>
      <w:bookmarkEnd w:id="145"/>
      <w:bookmarkEnd w:id="146"/>
      <w:bookmarkEnd w:id="147"/>
      <w:bookmarkEnd w:id="148"/>
    </w:p>
    <w:p>
      <w:pPr>
        <w:spacing w:line="560" w:lineRule="exact"/>
        <w:ind w:firstLine="643" w:firstLineChars="200"/>
        <w:jc w:val="left"/>
        <w:outlineLvl w:val="1"/>
        <w:rPr>
          <w:rFonts w:ascii="楷体" w:hAnsi="楷体" w:eastAsia="楷体" w:cs="楷体"/>
          <w:b/>
          <w:bCs/>
          <w:color w:val="auto"/>
          <w:sz w:val="32"/>
          <w:szCs w:val="32"/>
        </w:rPr>
      </w:pPr>
      <w:bookmarkStart w:id="149" w:name="_Toc20071"/>
      <w:bookmarkStart w:id="150" w:name="_Toc17839"/>
      <w:bookmarkStart w:id="151" w:name="_Toc6368"/>
      <w:bookmarkStart w:id="152" w:name="_Toc31447"/>
      <w:bookmarkStart w:id="153" w:name="_Toc32556"/>
      <w:bookmarkStart w:id="154" w:name="_Toc5172"/>
      <w:bookmarkStart w:id="155" w:name="_Toc1648"/>
      <w:bookmarkStart w:id="156" w:name="_Toc61273519"/>
      <w:bookmarkStart w:id="157" w:name="_Toc3958"/>
      <w:bookmarkStart w:id="158" w:name="_Toc7795"/>
      <w:bookmarkStart w:id="159" w:name="_Toc29532"/>
      <w:bookmarkStart w:id="160" w:name="_Toc2676"/>
      <w:r>
        <w:rPr>
          <w:rFonts w:hint="eastAsia" w:ascii="楷体" w:hAnsi="楷体" w:eastAsia="楷体" w:cs="楷体"/>
          <w:b/>
          <w:bCs/>
          <w:color w:val="auto"/>
          <w:sz w:val="32"/>
          <w:szCs w:val="32"/>
        </w:rPr>
        <w:t>（一）指导思想</w:t>
      </w:r>
      <w:bookmarkEnd w:id="149"/>
      <w:bookmarkEnd w:id="150"/>
      <w:bookmarkEnd w:id="151"/>
      <w:bookmarkEnd w:id="152"/>
      <w:bookmarkEnd w:id="153"/>
      <w:bookmarkEnd w:id="154"/>
      <w:bookmarkEnd w:id="155"/>
      <w:bookmarkEnd w:id="156"/>
      <w:bookmarkEnd w:id="157"/>
      <w:bookmarkEnd w:id="158"/>
      <w:bookmarkEnd w:id="159"/>
      <w:bookmarkEnd w:id="160"/>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lang w:eastAsia="zh-CN"/>
        </w:rPr>
        <w:t>“</w:t>
      </w:r>
      <w:r>
        <w:rPr>
          <w:rFonts w:hint="eastAsia" w:eastAsia="仿宋_GB2312" w:cs="仿宋"/>
          <w:color w:val="auto"/>
          <w:sz w:val="32"/>
          <w:szCs w:val="32"/>
        </w:rPr>
        <w:t>十四五</w:t>
      </w:r>
      <w:r>
        <w:rPr>
          <w:rFonts w:hint="eastAsia" w:eastAsia="仿宋_GB2312" w:cs="仿宋"/>
          <w:color w:val="auto"/>
          <w:sz w:val="32"/>
          <w:szCs w:val="32"/>
          <w:lang w:eastAsia="zh-CN"/>
        </w:rPr>
        <w:t>”</w:t>
      </w:r>
      <w:r>
        <w:rPr>
          <w:rFonts w:hint="eastAsia" w:eastAsia="仿宋_GB2312" w:cs="仿宋"/>
          <w:color w:val="auto"/>
          <w:sz w:val="32"/>
          <w:szCs w:val="32"/>
        </w:rPr>
        <w:t>时期全市食品安全工作的指导思想是：高举中国特色社会主义伟大旗帜，坚持以习近平新时代中国特色社会主要思想为指导，全面贯彻党的十九大和十九届二中、三中、四中、五中全会精神，坚决贯彻习近平总书记视察江西和赣州重要讲话精神，聚焦“作示范、勇争先”目标定位和“五个推进”重要要求，坚持稳中求进工作总基调，以满足人民日益增长的美好生活需要为根本目的，深入落实</w:t>
      </w:r>
      <w:r>
        <w:rPr>
          <w:rFonts w:hint="eastAsia" w:eastAsia="仿宋_GB2312" w:cs="仿宋"/>
          <w:color w:val="auto"/>
          <w:sz w:val="32"/>
          <w:szCs w:val="32"/>
          <w:lang w:val="en-US" w:eastAsia="zh-CN"/>
        </w:rPr>
        <w:t>省</w:t>
      </w:r>
      <w:r>
        <w:rPr>
          <w:rFonts w:hint="eastAsia" w:eastAsia="仿宋_GB2312" w:cs="仿宋"/>
          <w:color w:val="auto"/>
          <w:sz w:val="32"/>
          <w:szCs w:val="32"/>
        </w:rPr>
        <w:t>委“二十四字”工作思路，遵循“四个最严”</w:t>
      </w:r>
      <w:r>
        <w:rPr>
          <w:rFonts w:hint="eastAsia" w:eastAsia="仿宋_GB2312" w:cs="仿宋"/>
          <w:color w:val="auto"/>
          <w:sz w:val="32"/>
          <w:szCs w:val="32"/>
          <w:lang w:val="en-US" w:eastAsia="zh-CN"/>
        </w:rPr>
        <w:t>要求坚守食品安全底线</w:t>
      </w:r>
      <w:r>
        <w:rPr>
          <w:rFonts w:hint="eastAsia" w:eastAsia="仿宋_GB2312" w:cs="仿宋"/>
          <w:color w:val="auto"/>
          <w:sz w:val="32"/>
          <w:szCs w:val="32"/>
        </w:rPr>
        <w:t>，高质量推进食品产业转型升级，</w:t>
      </w:r>
      <w:r>
        <w:rPr>
          <w:rFonts w:hint="eastAsia" w:eastAsia="仿宋_GB2312" w:cs="仿宋"/>
          <w:color w:val="auto"/>
          <w:sz w:val="32"/>
          <w:szCs w:val="32"/>
          <w:lang w:val="en-US" w:eastAsia="zh-CN"/>
        </w:rPr>
        <w:t>着力</w:t>
      </w:r>
      <w:r>
        <w:rPr>
          <w:rFonts w:hint="eastAsia" w:eastAsia="仿宋_GB2312" w:cs="仿宋"/>
          <w:color w:val="auto"/>
          <w:sz w:val="32"/>
          <w:szCs w:val="32"/>
        </w:rPr>
        <w:t>提</w:t>
      </w:r>
      <w:r>
        <w:rPr>
          <w:rFonts w:hint="eastAsia" w:eastAsia="仿宋_GB2312" w:cs="仿宋"/>
          <w:color w:val="auto"/>
          <w:sz w:val="32"/>
          <w:szCs w:val="32"/>
          <w:lang w:val="en-US" w:eastAsia="zh-CN"/>
        </w:rPr>
        <w:t>升</w:t>
      </w:r>
      <w:r>
        <w:rPr>
          <w:rFonts w:hint="eastAsia" w:eastAsia="仿宋_GB2312" w:cs="仿宋"/>
          <w:color w:val="auto"/>
          <w:sz w:val="32"/>
          <w:szCs w:val="32"/>
        </w:rPr>
        <w:t>从农田到餐桌的全过程监管能力</w:t>
      </w:r>
      <w:r>
        <w:rPr>
          <w:rFonts w:hint="eastAsia" w:eastAsia="仿宋_GB2312" w:cs="仿宋"/>
          <w:color w:val="auto"/>
          <w:sz w:val="32"/>
          <w:szCs w:val="32"/>
          <w:lang w:val="en-US" w:eastAsia="zh-CN"/>
        </w:rPr>
        <w:t>和</w:t>
      </w:r>
      <w:r>
        <w:rPr>
          <w:rFonts w:hint="eastAsia" w:eastAsia="仿宋_GB2312" w:cs="仿宋"/>
          <w:color w:val="auto"/>
          <w:sz w:val="32"/>
          <w:szCs w:val="32"/>
        </w:rPr>
        <w:t>食品全链条质量安全保障水平，</w:t>
      </w:r>
      <w:r>
        <w:rPr>
          <w:rFonts w:hint="eastAsia" w:eastAsia="仿宋_GB2312" w:cs="仿宋"/>
          <w:color w:val="auto"/>
          <w:sz w:val="32"/>
          <w:szCs w:val="32"/>
          <w:lang w:val="en-US" w:eastAsia="zh-CN"/>
        </w:rPr>
        <w:t>构建</w:t>
      </w:r>
      <w:r>
        <w:rPr>
          <w:rFonts w:hint="eastAsia" w:eastAsia="仿宋_GB2312" w:cs="仿宋"/>
          <w:color w:val="auto"/>
          <w:sz w:val="32"/>
          <w:szCs w:val="32"/>
        </w:rPr>
        <w:t>食品安全现代化治理体系，不断</w:t>
      </w:r>
      <w:r>
        <w:rPr>
          <w:rFonts w:hint="eastAsia" w:eastAsia="仿宋_GB2312" w:cs="仿宋"/>
          <w:color w:val="auto"/>
          <w:sz w:val="32"/>
          <w:szCs w:val="32"/>
          <w:lang w:val="en-US" w:eastAsia="zh-CN"/>
        </w:rPr>
        <w:t>增强</w:t>
      </w:r>
      <w:r>
        <w:rPr>
          <w:rFonts w:hint="eastAsia" w:eastAsia="仿宋_GB2312" w:cs="仿宋"/>
          <w:color w:val="auto"/>
          <w:sz w:val="32"/>
          <w:szCs w:val="32"/>
        </w:rPr>
        <w:t>人民群众获得感、幸福感、安全感</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为纵深推进新时代赣南苏区振兴发展，不断开创革命老区高质量发展示范区建设新局面作出积极贡献。</w:t>
      </w:r>
    </w:p>
    <w:p>
      <w:pPr>
        <w:spacing w:line="560" w:lineRule="exact"/>
        <w:ind w:firstLine="643" w:firstLineChars="200"/>
        <w:jc w:val="left"/>
        <w:outlineLvl w:val="1"/>
        <w:rPr>
          <w:rFonts w:ascii="楷体" w:hAnsi="楷体" w:eastAsia="楷体" w:cs="楷体"/>
          <w:b/>
          <w:bCs/>
          <w:color w:val="auto"/>
          <w:sz w:val="32"/>
          <w:szCs w:val="32"/>
        </w:rPr>
      </w:pPr>
      <w:bookmarkStart w:id="161" w:name="_Toc13909"/>
      <w:bookmarkStart w:id="162" w:name="_Toc61273520"/>
      <w:bookmarkStart w:id="163" w:name="_Toc22215"/>
      <w:bookmarkStart w:id="164" w:name="_Toc22596"/>
      <w:bookmarkStart w:id="165" w:name="_Toc13407"/>
      <w:bookmarkStart w:id="166" w:name="_Toc10734"/>
      <w:bookmarkStart w:id="167" w:name="_Toc31981"/>
      <w:bookmarkStart w:id="168" w:name="_Toc2802"/>
      <w:bookmarkStart w:id="169" w:name="_Toc6130"/>
      <w:bookmarkStart w:id="170" w:name="_Toc24016"/>
      <w:bookmarkStart w:id="171" w:name="_Toc1291"/>
      <w:bookmarkStart w:id="172" w:name="_Toc8112"/>
      <w:r>
        <w:rPr>
          <w:rFonts w:hint="eastAsia" w:ascii="楷体" w:hAnsi="楷体" w:eastAsia="楷体" w:cs="楷体"/>
          <w:b/>
          <w:bCs/>
          <w:color w:val="auto"/>
          <w:sz w:val="32"/>
          <w:szCs w:val="32"/>
        </w:rPr>
        <w:t>（二）基本原则</w:t>
      </w:r>
      <w:bookmarkEnd w:id="161"/>
      <w:bookmarkEnd w:id="162"/>
      <w:bookmarkEnd w:id="163"/>
      <w:bookmarkEnd w:id="164"/>
      <w:bookmarkEnd w:id="165"/>
      <w:bookmarkEnd w:id="166"/>
      <w:bookmarkEnd w:id="167"/>
      <w:bookmarkEnd w:id="168"/>
      <w:bookmarkEnd w:id="169"/>
      <w:bookmarkEnd w:id="170"/>
      <w:bookmarkEnd w:id="171"/>
      <w:bookmarkEnd w:id="172"/>
    </w:p>
    <w:p>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坚持党的全面领导。</w:t>
      </w:r>
      <w:r>
        <w:rPr>
          <w:rFonts w:hint="eastAsia" w:eastAsia="仿宋_GB2312" w:cs="仿宋"/>
          <w:color w:val="auto"/>
          <w:sz w:val="32"/>
          <w:szCs w:val="32"/>
        </w:rPr>
        <w:t>坚持和完善党领导食品安全工作的体制机制，</w:t>
      </w:r>
      <w:r>
        <w:rPr>
          <w:rFonts w:hint="eastAsia" w:eastAsia="仿宋_GB2312" w:cs="仿宋"/>
          <w:color w:val="auto"/>
          <w:sz w:val="32"/>
          <w:szCs w:val="32"/>
          <w:lang w:val="en-US" w:eastAsia="zh-CN"/>
        </w:rPr>
        <w:t>加强和改进</w:t>
      </w:r>
      <w:r>
        <w:rPr>
          <w:rFonts w:hint="eastAsia" w:eastAsia="仿宋_GB2312" w:cs="仿宋"/>
          <w:color w:val="auto"/>
          <w:sz w:val="32"/>
          <w:szCs w:val="32"/>
        </w:rPr>
        <w:t>食品安全监管制度，不断提高贯彻新发展理念，构建新发展格局的能力和水平，为实现食品产业高质量发展提供根本保证。</w:t>
      </w:r>
    </w:p>
    <w:p>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坚持以人民为中心。</w:t>
      </w:r>
      <w:r>
        <w:rPr>
          <w:rFonts w:hint="eastAsia" w:eastAsia="仿宋_GB2312" w:cs="仿宋"/>
          <w:color w:val="auto"/>
          <w:sz w:val="32"/>
          <w:szCs w:val="32"/>
        </w:rPr>
        <w:t>把保障人民群众食品安全放在首位，</w:t>
      </w:r>
      <w:r>
        <w:rPr>
          <w:rFonts w:hint="eastAsia" w:eastAsia="仿宋_GB2312" w:cs="仿宋"/>
          <w:color w:val="auto"/>
          <w:sz w:val="32"/>
          <w:szCs w:val="32"/>
          <w:lang w:val="en-US" w:eastAsia="zh-CN"/>
        </w:rPr>
        <w:t>以食品安全法律法规为准绳，</w:t>
      </w:r>
      <w:r>
        <w:rPr>
          <w:rFonts w:hint="eastAsia" w:eastAsia="仿宋_GB2312" w:cs="仿宋"/>
          <w:color w:val="auto"/>
          <w:sz w:val="32"/>
          <w:szCs w:val="32"/>
        </w:rPr>
        <w:t>坚守安全底线，以维护和促进公众健康为目标，从解决人民群众普遍关心的突出问题入手，</w:t>
      </w:r>
      <w:r>
        <w:rPr>
          <w:rFonts w:hint="eastAsia" w:eastAsia="仿宋_GB2312" w:cs="仿宋"/>
          <w:color w:val="auto"/>
          <w:sz w:val="32"/>
          <w:szCs w:val="32"/>
          <w:lang w:val="en-US" w:eastAsia="zh-CN"/>
        </w:rPr>
        <w:t>深入实施食品安全战略，推进食品安全放心工程建设共建行动，加大重点领域食品安全问题联合整治力度，</w:t>
      </w:r>
      <w:r>
        <w:rPr>
          <w:rFonts w:hint="eastAsia" w:eastAsia="仿宋_GB2312" w:cs="仿宋"/>
          <w:color w:val="auto"/>
          <w:sz w:val="32"/>
          <w:szCs w:val="32"/>
        </w:rPr>
        <w:t>标本兼治、综合施策，不断提升人民群众的安全感和满意感</w:t>
      </w:r>
      <w:r>
        <w:rPr>
          <w:rFonts w:eastAsia="仿宋_GB2312" w:cs="仿宋"/>
          <w:color w:val="auto"/>
          <w:sz w:val="32"/>
          <w:szCs w:val="32"/>
        </w:rPr>
        <w:t>,</w:t>
      </w:r>
      <w:r>
        <w:rPr>
          <w:rFonts w:hint="eastAsia" w:eastAsia="仿宋_GB2312" w:cs="仿宋"/>
          <w:color w:val="auto"/>
          <w:sz w:val="32"/>
          <w:szCs w:val="32"/>
        </w:rPr>
        <w:t>实现人民对美好生活的向往。</w:t>
      </w:r>
    </w:p>
    <w:p>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坚持新发展理念。</w:t>
      </w:r>
      <w:r>
        <w:rPr>
          <w:rFonts w:hint="eastAsia" w:eastAsia="仿宋_GB2312" w:cs="仿宋"/>
          <w:color w:val="auto"/>
          <w:sz w:val="32"/>
          <w:szCs w:val="32"/>
        </w:rPr>
        <w:t>把新发展理念贯彻食品行业发展的全过程，构建新发展格局，切实转变发展方式，推进质量变革、效率变革、动力变革，实现更高质量、更有效率、更加公更可持续、更为安全的发展。</w:t>
      </w:r>
    </w:p>
    <w:p>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坚持深化改革。</w:t>
      </w:r>
      <w:r>
        <w:rPr>
          <w:rFonts w:hint="eastAsia" w:eastAsia="仿宋_GB2312" w:cs="仿宋"/>
          <w:color w:val="auto"/>
          <w:sz w:val="32"/>
          <w:szCs w:val="32"/>
        </w:rPr>
        <w:t>坚定不移推进食品安全改革，创新监管理念、监管方式，堵塞漏洞、补齐短板，推进食品安全领域治理体系和治理能力现代化</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加强食品安全监管执法，强化快速通报和快速反应</w:t>
      </w:r>
      <w:r>
        <w:rPr>
          <w:rFonts w:hint="eastAsia" w:eastAsia="仿宋_GB2312" w:cs="仿宋"/>
          <w:color w:val="auto"/>
          <w:sz w:val="32"/>
          <w:szCs w:val="32"/>
        </w:rPr>
        <w:t>。</w:t>
      </w:r>
    </w:p>
    <w:p>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坚持系统观念。</w:t>
      </w:r>
      <w:r>
        <w:rPr>
          <w:rFonts w:hint="eastAsia" w:eastAsia="仿宋_GB2312" w:cs="仿宋"/>
          <w:color w:val="auto"/>
          <w:sz w:val="32"/>
          <w:szCs w:val="32"/>
        </w:rPr>
        <w:t>牢固树立系统性食品安全风险防范意识，强化风险监测、风险评估，</w:t>
      </w:r>
      <w:r>
        <w:rPr>
          <w:rFonts w:hint="eastAsia" w:eastAsia="仿宋_GB2312" w:cs="仿宋"/>
          <w:color w:val="auto"/>
          <w:sz w:val="32"/>
          <w:szCs w:val="32"/>
          <w:lang w:val="en-US" w:eastAsia="zh-CN"/>
        </w:rPr>
        <w:t>加强食品全链条质量安全监管，</w:t>
      </w:r>
      <w:r>
        <w:rPr>
          <w:rFonts w:hint="eastAsia" w:eastAsia="仿宋_GB2312" w:cs="仿宋"/>
          <w:color w:val="auto"/>
          <w:sz w:val="32"/>
          <w:szCs w:val="32"/>
        </w:rPr>
        <w:t>提高风险发现与处置能力。加强食品安全监管的前瞻性思考、全局性谋划、战略性布局、整体性推进，正确处理安全与发展的关系，强化法治理念，严把从农田到餐桌的每一道防线</w:t>
      </w:r>
      <w:r>
        <w:rPr>
          <w:rFonts w:eastAsia="仿宋_GB2312" w:cs="仿宋"/>
          <w:color w:val="auto"/>
          <w:sz w:val="32"/>
          <w:szCs w:val="32"/>
        </w:rPr>
        <w:t>,</w:t>
      </w:r>
      <w:r>
        <w:rPr>
          <w:rFonts w:hint="eastAsia" w:eastAsia="仿宋_GB2312" w:cs="仿宋"/>
          <w:color w:val="auto"/>
          <w:sz w:val="32"/>
          <w:szCs w:val="32"/>
        </w:rPr>
        <w:t>促一方发展，保一方平安。</w:t>
      </w:r>
    </w:p>
    <w:p>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坚持共治共享。</w:t>
      </w:r>
      <w:r>
        <w:rPr>
          <w:rFonts w:hint="eastAsia" w:eastAsia="仿宋_GB2312" w:cs="仿宋"/>
          <w:color w:val="auto"/>
          <w:sz w:val="32"/>
          <w:szCs w:val="32"/>
        </w:rPr>
        <w:t>生产经营者自觉履行主体责任，政府部门依法加强监管，公众积极参与社会监督，</w:t>
      </w:r>
      <w:r>
        <w:rPr>
          <w:rFonts w:hint="eastAsia" w:eastAsia="仿宋_GB2312" w:cs="仿宋"/>
          <w:color w:val="auto"/>
          <w:sz w:val="32"/>
          <w:szCs w:val="32"/>
          <w:lang w:val="en-US" w:eastAsia="zh-CN"/>
        </w:rPr>
        <w:t>探索建立食品安全民事公益诉讼惩罚性赔偿制度。</w:t>
      </w:r>
      <w:r>
        <w:rPr>
          <w:rFonts w:hint="eastAsia" w:eastAsia="仿宋_GB2312" w:cs="仿宋"/>
          <w:color w:val="auto"/>
          <w:sz w:val="32"/>
          <w:szCs w:val="32"/>
        </w:rPr>
        <w:t>形成各方各尽其责、齐抓共管、合力共治的工作格局。</w:t>
      </w:r>
      <w:r>
        <w:rPr>
          <w:rFonts w:hint="eastAsia" w:eastAsia="仿宋_GB2312" w:cs="仿宋"/>
          <w:color w:val="auto"/>
          <w:sz w:val="32"/>
          <w:szCs w:val="32"/>
        </w:rPr>
        <w:br w:type="textWrapping"/>
      </w:r>
    </w:p>
    <w:p>
      <w:pPr>
        <w:spacing w:line="560" w:lineRule="exact"/>
        <w:ind w:firstLine="0" w:firstLineChars="0"/>
        <w:jc w:val="center"/>
        <w:outlineLvl w:val="0"/>
        <w:rPr>
          <w:rFonts w:hint="eastAsia" w:ascii="黑体" w:hAnsi="黑体" w:eastAsia="黑体" w:cs="黑体"/>
          <w:b w:val="0"/>
          <w:bCs w:val="0"/>
          <w:color w:val="auto"/>
          <w:sz w:val="32"/>
          <w:szCs w:val="32"/>
        </w:rPr>
      </w:pPr>
      <w:bookmarkStart w:id="173" w:name="_Toc26414"/>
      <w:bookmarkStart w:id="174" w:name="_Toc61273521"/>
      <w:bookmarkStart w:id="175" w:name="_Toc14737"/>
      <w:bookmarkStart w:id="176" w:name="_Toc26106"/>
      <w:bookmarkStart w:id="177" w:name="_Toc9593"/>
      <w:bookmarkStart w:id="178" w:name="_Toc12677"/>
      <w:bookmarkStart w:id="179" w:name="_Toc19839"/>
      <w:bookmarkStart w:id="180" w:name="_Toc27889"/>
      <w:bookmarkStart w:id="181" w:name="_Toc22788"/>
      <w:bookmarkStart w:id="182" w:name="_Toc25671"/>
      <w:bookmarkStart w:id="183" w:name="_Toc17260"/>
      <w:bookmarkStart w:id="184" w:name="_Toc27265"/>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发展目标</w:t>
      </w:r>
      <w:bookmarkEnd w:id="173"/>
      <w:bookmarkEnd w:id="174"/>
      <w:bookmarkEnd w:id="175"/>
      <w:bookmarkEnd w:id="176"/>
      <w:bookmarkEnd w:id="177"/>
      <w:bookmarkEnd w:id="178"/>
      <w:bookmarkEnd w:id="179"/>
      <w:bookmarkEnd w:id="180"/>
      <w:bookmarkEnd w:id="181"/>
      <w:bookmarkEnd w:id="182"/>
      <w:bookmarkEnd w:id="183"/>
      <w:bookmarkEnd w:id="184"/>
    </w:p>
    <w:p>
      <w:pPr>
        <w:spacing w:line="560" w:lineRule="exact"/>
        <w:ind w:firstLine="640" w:firstLineChars="200"/>
        <w:rPr>
          <w:rFonts w:hint="eastAsia" w:eastAsia="仿宋_GB2312" w:cs="仿宋"/>
          <w:color w:val="auto"/>
          <w:sz w:val="32"/>
          <w:szCs w:val="32"/>
        </w:rPr>
      </w:pPr>
      <w:r>
        <w:rPr>
          <w:rFonts w:hint="eastAsia" w:eastAsia="仿宋_GB2312" w:cs="仿宋"/>
          <w:color w:val="auto"/>
          <w:sz w:val="32"/>
          <w:szCs w:val="32"/>
        </w:rPr>
        <w:t>经过五年努力，食品产业发展再上新台阶，食品产业规模更大、食品产业创新能力显著提升、食品产业基础高级化、食品产业链现代水平明显提高；更高标准的食品市场体系基本建成，食品生产经营企业更加充满活力；食品安全理念深入人心，公众食品安全意识明显提高，食品生产经营者责任意识和法律意识更强；食品安全治理效能得到提升，行政监管体系更加完善，食品行政效率和公信力显著提升，社会治理水平明显提高，防范化解重大食品安全风险体制机制不断健全，突出食品安全事件应急能力显著增强。到</w:t>
      </w:r>
      <w:r>
        <w:rPr>
          <w:rFonts w:eastAsia="仿宋_GB2312" w:cs="仿宋"/>
          <w:color w:val="auto"/>
          <w:sz w:val="32"/>
          <w:szCs w:val="32"/>
        </w:rPr>
        <w:t>2025</w:t>
      </w:r>
      <w:r>
        <w:rPr>
          <w:rFonts w:hint="eastAsia" w:eastAsia="仿宋_GB2312" w:cs="仿宋"/>
          <w:color w:val="auto"/>
          <w:sz w:val="32"/>
          <w:szCs w:val="32"/>
        </w:rPr>
        <w:t>年，全市食品抽检量达</w:t>
      </w:r>
      <w:r>
        <w:rPr>
          <w:rFonts w:eastAsia="仿宋_GB2312" w:cs="仿宋"/>
          <w:color w:val="auto"/>
          <w:sz w:val="32"/>
          <w:szCs w:val="32"/>
        </w:rPr>
        <w:t>4</w:t>
      </w:r>
      <w:r>
        <w:rPr>
          <w:rFonts w:hint="eastAsia" w:eastAsia="仿宋_GB2312" w:cs="仿宋"/>
          <w:color w:val="auto"/>
          <w:sz w:val="32"/>
          <w:szCs w:val="32"/>
          <w:lang w:val="en-US" w:eastAsia="zh-CN"/>
        </w:rPr>
        <w:t>.5</w:t>
      </w:r>
      <w:r>
        <w:rPr>
          <w:rFonts w:hint="eastAsia" w:eastAsia="仿宋_GB2312" w:cs="仿宋"/>
          <w:color w:val="auto"/>
          <w:sz w:val="32"/>
          <w:szCs w:val="32"/>
        </w:rPr>
        <w:t>批次</w:t>
      </w:r>
      <w:r>
        <w:rPr>
          <w:rFonts w:eastAsia="仿宋_GB2312" w:cs="仿宋"/>
          <w:color w:val="auto"/>
          <w:sz w:val="32"/>
          <w:szCs w:val="32"/>
        </w:rPr>
        <w:t>/</w:t>
      </w:r>
      <w:r>
        <w:rPr>
          <w:rFonts w:hint="eastAsia" w:eastAsia="仿宋_GB2312" w:cs="仿宋"/>
          <w:color w:val="auto"/>
          <w:sz w:val="32"/>
          <w:szCs w:val="32"/>
        </w:rPr>
        <w:t>千人·年，食品评价抽检合格率稳定在</w:t>
      </w:r>
      <w:r>
        <w:rPr>
          <w:rFonts w:eastAsia="仿宋_GB2312" w:cs="仿宋"/>
          <w:color w:val="auto"/>
          <w:sz w:val="32"/>
          <w:szCs w:val="32"/>
        </w:rPr>
        <w:t>98</w:t>
      </w:r>
      <w:r>
        <w:rPr>
          <w:rFonts w:hint="eastAsia" w:eastAsia="仿宋_GB2312" w:cs="仿宋"/>
          <w:color w:val="auto"/>
          <w:sz w:val="32"/>
          <w:szCs w:val="32"/>
          <w:lang w:val="en-US" w:eastAsia="zh-CN"/>
        </w:rPr>
        <w:t>.5</w:t>
      </w:r>
      <w:r>
        <w:rPr>
          <w:rFonts w:eastAsia="仿宋_GB2312" w:cs="仿宋"/>
          <w:color w:val="auto"/>
          <w:sz w:val="32"/>
          <w:szCs w:val="32"/>
        </w:rPr>
        <w:t>%</w:t>
      </w:r>
      <w:r>
        <w:rPr>
          <w:rFonts w:hint="eastAsia" w:eastAsia="仿宋_GB2312" w:cs="仿宋"/>
          <w:color w:val="auto"/>
          <w:sz w:val="32"/>
          <w:szCs w:val="32"/>
        </w:rPr>
        <w:t>以上，人民群众对食品安全形势满意率稳定在</w:t>
      </w:r>
      <w:r>
        <w:rPr>
          <w:rFonts w:eastAsia="仿宋_GB2312" w:cs="仿宋"/>
          <w:color w:val="auto"/>
          <w:sz w:val="32"/>
          <w:szCs w:val="32"/>
        </w:rPr>
        <w:t>8</w:t>
      </w:r>
      <w:r>
        <w:rPr>
          <w:rFonts w:hint="eastAsia" w:eastAsia="仿宋_GB2312" w:cs="仿宋"/>
          <w:color w:val="auto"/>
          <w:sz w:val="32"/>
          <w:szCs w:val="32"/>
          <w:lang w:val="en-US" w:eastAsia="zh-CN"/>
        </w:rPr>
        <w:t>0</w:t>
      </w:r>
      <w:r>
        <w:rPr>
          <w:rFonts w:eastAsia="仿宋_GB2312" w:cs="仿宋"/>
          <w:color w:val="auto"/>
          <w:sz w:val="32"/>
          <w:szCs w:val="32"/>
        </w:rPr>
        <w:t>%</w:t>
      </w:r>
      <w:r>
        <w:rPr>
          <w:rFonts w:hint="eastAsia" w:eastAsia="仿宋_GB2312" w:cs="仿宋"/>
          <w:color w:val="auto"/>
          <w:sz w:val="32"/>
          <w:szCs w:val="32"/>
        </w:rPr>
        <w:t>以上，基本实现全市食品安全治理制度化、科学化、规范化、程序化，体制更加健全，机制更加完善，治理更加科学。</w:t>
      </w:r>
    </w:p>
    <w:p>
      <w:pPr>
        <w:pStyle w:val="2"/>
        <w:spacing w:line="560" w:lineRule="exact"/>
        <w:rPr>
          <w:rFonts w:hint="eastAsia" w:eastAsia="仿宋_GB2312" w:cs="仿宋"/>
          <w:color w:val="auto"/>
          <w:sz w:val="32"/>
          <w:szCs w:val="32"/>
        </w:rPr>
      </w:pPr>
    </w:p>
    <w:p>
      <w:pPr>
        <w:spacing w:line="560" w:lineRule="exact"/>
        <w:rPr>
          <w:rFonts w:hint="eastAsia" w:eastAsia="仿宋_GB2312" w:cs="仿宋"/>
          <w:color w:val="auto"/>
          <w:sz w:val="32"/>
          <w:szCs w:val="32"/>
        </w:rPr>
      </w:pPr>
    </w:p>
    <w:p>
      <w:pPr>
        <w:pStyle w:val="2"/>
        <w:spacing w:line="560" w:lineRule="exact"/>
        <w:rPr>
          <w:rFonts w:hint="eastAsia" w:eastAsia="仿宋_GB2312" w:cs="仿宋"/>
          <w:color w:val="auto"/>
          <w:sz w:val="32"/>
          <w:szCs w:val="32"/>
        </w:rPr>
      </w:pPr>
    </w:p>
    <w:p>
      <w:pPr>
        <w:spacing w:line="560" w:lineRule="exact"/>
        <w:rPr>
          <w:rFonts w:hint="eastAsia"/>
        </w:rPr>
      </w:pPr>
    </w:p>
    <w:p>
      <w:pPr>
        <w:spacing w:line="560" w:lineRule="exact"/>
        <w:rPr>
          <w:rFonts w:hint="eastAsia"/>
        </w:rPr>
      </w:pPr>
    </w:p>
    <w:p>
      <w:pPr>
        <w:spacing w:line="560" w:lineRule="exact"/>
        <w:rPr>
          <w:rFonts w:hint="eastAsia"/>
        </w:rPr>
      </w:pPr>
    </w:p>
    <w:p>
      <w:pPr>
        <w:spacing w:line="560" w:lineRule="exact"/>
        <w:rPr>
          <w:rFonts w:hint="eastAsia" w:eastAsia="仿宋_GB2312" w:cs="仿宋"/>
          <w:color w:val="auto"/>
          <w:sz w:val="32"/>
          <w:szCs w:val="32"/>
        </w:rPr>
      </w:pPr>
    </w:p>
    <w:p>
      <w:pPr>
        <w:pStyle w:val="2"/>
        <w:spacing w:line="560" w:lineRule="exact"/>
      </w:pPr>
    </w:p>
    <w:p>
      <w:pPr>
        <w:pStyle w:val="15"/>
        <w:spacing w:line="560" w:lineRule="exact"/>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附表</w:t>
      </w:r>
      <w:r>
        <w:rPr>
          <w:rFonts w:hint="eastAsia" w:ascii="仿宋" w:hAnsi="仿宋" w:eastAsia="仿宋" w:cs="仿宋"/>
          <w:b/>
          <w:bCs/>
          <w:color w:val="auto"/>
          <w:sz w:val="32"/>
          <w:szCs w:val="32"/>
          <w:lang w:val="en-US" w:eastAsia="zh-CN"/>
        </w:rPr>
        <w:t>2</w:t>
      </w:r>
    </w:p>
    <w:p>
      <w:pPr>
        <w:pStyle w:val="15"/>
        <w:spacing w:line="560" w:lineRule="exact"/>
        <w:ind w:left="0" w:leftChars="0" w:firstLine="0" w:firstLineChars="0"/>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“十四五”规划主要指标</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2"/>
        <w:gridCol w:w="2348"/>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指标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2025年目标值</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县（市、区）中心城区农贸市场实施</w:t>
            </w:r>
            <w:r>
              <w:rPr>
                <w:rFonts w:hint="eastAsia" w:ascii="仿宋" w:hAnsi="仿宋" w:eastAsia="仿宋" w:cs="仿宋"/>
                <w:color w:val="auto"/>
                <w:kern w:val="0"/>
                <w:sz w:val="24"/>
                <w:szCs w:val="24"/>
                <w:highlight w:val="none"/>
                <w:u w:val="none"/>
                <w:lang w:val="en-US" w:eastAsia="zh-CN"/>
              </w:rPr>
              <w:t>家禽集中屠宰、冷链配送、生鲜上市覆盖率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100%</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推进冷链物流园项目建设</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5个</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食品安全风险等级评定的覆盖面（主要食品生产经营者）</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100%</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食品抽验量次数</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5批次/千人·年</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食品评价抽检合格率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98.5%</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学校（幼儿园）食堂</w:t>
            </w:r>
            <w:r>
              <w:rPr>
                <w:rFonts w:hint="eastAsia" w:ascii="仿宋" w:hAnsi="仿宋" w:eastAsia="仿宋" w:cs="仿宋"/>
                <w:color w:val="auto"/>
                <w:sz w:val="24"/>
                <w:szCs w:val="24"/>
                <w:highlight w:val="none"/>
                <w:lang w:eastAsia="zh-CN"/>
              </w:rPr>
              <w:t>“互联网</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明厨亮灶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覆盖率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100%</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大型农贸市场和生鲜超市快速检测室配备率</w:t>
            </w:r>
          </w:p>
        </w:tc>
        <w:tc>
          <w:tcPr>
            <w:tcW w:w="2348" w:type="dxa"/>
            <w:shd w:val="clear" w:color="auto" w:fill="auto"/>
            <w:vAlign w:val="center"/>
          </w:tcPr>
          <w:p>
            <w:pPr>
              <w:pStyle w:val="15"/>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待补充</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市级食品检验机构对食品、</w:t>
            </w:r>
            <w:r>
              <w:rPr>
                <w:rFonts w:hint="eastAsia" w:ascii="仿宋" w:hAnsi="仿宋" w:eastAsia="仿宋" w:cs="仿宋"/>
                <w:color w:val="auto"/>
                <w:sz w:val="24"/>
                <w:szCs w:val="24"/>
                <w:highlight w:val="none"/>
                <w:lang w:val="en-US" w:eastAsia="zh-CN"/>
              </w:rPr>
              <w:t>保健</w:t>
            </w:r>
            <w:r>
              <w:rPr>
                <w:rFonts w:hint="eastAsia" w:ascii="仿宋" w:hAnsi="仿宋" w:eastAsia="仿宋" w:cs="仿宋"/>
                <w:color w:val="auto"/>
                <w:sz w:val="24"/>
                <w:szCs w:val="24"/>
                <w:highlight w:val="none"/>
              </w:rPr>
              <w:t>食品检验能力</w:t>
            </w:r>
          </w:p>
        </w:tc>
        <w:tc>
          <w:tcPr>
            <w:tcW w:w="2348" w:type="dxa"/>
            <w:shd w:val="clear" w:color="auto" w:fill="auto"/>
            <w:vAlign w:val="center"/>
          </w:tcPr>
          <w:p>
            <w:pPr>
              <w:pStyle w:val="15"/>
              <w:spacing w:line="240" w:lineRule="auto"/>
              <w:ind w:left="0" w:leftChars="0" w:firstLine="960" w:firstLineChars="4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90%</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重点建设的县级食品检验机构对食品检验能力</w:t>
            </w:r>
          </w:p>
        </w:tc>
        <w:tc>
          <w:tcPr>
            <w:tcW w:w="2348" w:type="dxa"/>
            <w:shd w:val="clear" w:color="auto" w:fill="auto"/>
            <w:vAlign w:val="center"/>
          </w:tcPr>
          <w:p>
            <w:pPr>
              <w:pStyle w:val="15"/>
              <w:spacing w:line="240" w:lineRule="auto"/>
              <w:ind w:left="0" w:leftChars="0" w:firstLine="960" w:firstLineChars="4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75%</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年食品中毒事故率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控制在4.5人/百万人口以内</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食品小作坊集中加工区</w:t>
            </w:r>
            <w:r>
              <w:rPr>
                <w:rFonts w:hint="eastAsia" w:ascii="仿宋" w:hAnsi="仿宋" w:eastAsia="仿宋" w:cs="仿宋"/>
                <w:color w:val="auto"/>
                <w:sz w:val="24"/>
                <w:szCs w:val="24"/>
                <w:highlight w:val="none"/>
                <w:lang w:eastAsia="zh-CN"/>
              </w:rPr>
              <w:t>覆盖率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30%以上</w:t>
            </w:r>
            <w:r>
              <w:rPr>
                <w:rFonts w:hint="eastAsia" w:ascii="仿宋" w:hAnsi="仿宋" w:eastAsia="仿宋" w:cs="仿宋"/>
                <w:color w:val="auto"/>
                <w:sz w:val="24"/>
                <w:szCs w:val="24"/>
                <w:highlight w:val="none"/>
                <w:lang w:eastAsia="zh-CN"/>
              </w:rPr>
              <w:t>县区</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食品生产企业检查</w:t>
            </w:r>
            <w:r>
              <w:rPr>
                <w:rFonts w:hint="eastAsia" w:ascii="仿宋" w:hAnsi="仿宋" w:eastAsia="仿宋" w:cs="仿宋"/>
                <w:color w:val="auto"/>
                <w:sz w:val="24"/>
                <w:szCs w:val="24"/>
                <w:highlight w:val="none"/>
                <w:lang w:val="en-US" w:eastAsia="zh-CN"/>
              </w:rPr>
              <w:t>覆盖</w:t>
            </w:r>
            <w:r>
              <w:rPr>
                <w:rFonts w:hint="eastAsia" w:ascii="仿宋" w:hAnsi="仿宋" w:eastAsia="仿宋" w:cs="仿宋"/>
                <w:color w:val="auto"/>
                <w:sz w:val="24"/>
                <w:szCs w:val="24"/>
                <w:highlight w:val="none"/>
              </w:rPr>
              <w:t>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100%</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eastAsia="zh-CN"/>
              </w:rPr>
              <w:t>建设、</w:t>
            </w:r>
            <w:r>
              <w:rPr>
                <w:rFonts w:hint="eastAsia" w:ascii="仿宋" w:hAnsi="仿宋" w:eastAsia="仿宋" w:cs="仿宋"/>
                <w:color w:val="auto"/>
                <w:kern w:val="2"/>
                <w:sz w:val="24"/>
                <w:szCs w:val="24"/>
                <w:highlight w:val="none"/>
              </w:rPr>
              <w:t>改造</w:t>
            </w:r>
            <w:r>
              <w:rPr>
                <w:rFonts w:hint="eastAsia" w:ascii="仿宋" w:hAnsi="仿宋" w:eastAsia="仿宋" w:cs="仿宋"/>
                <w:color w:val="auto"/>
                <w:kern w:val="2"/>
                <w:sz w:val="24"/>
                <w:szCs w:val="24"/>
                <w:highlight w:val="none"/>
                <w:lang w:eastAsia="zh-CN"/>
              </w:rPr>
              <w:t>标准化</w:t>
            </w:r>
            <w:r>
              <w:rPr>
                <w:rFonts w:hint="eastAsia" w:ascii="仿宋" w:hAnsi="仿宋" w:eastAsia="仿宋" w:cs="仿宋"/>
                <w:color w:val="auto"/>
                <w:kern w:val="2"/>
                <w:sz w:val="24"/>
                <w:szCs w:val="24"/>
                <w:highlight w:val="none"/>
              </w:rPr>
              <w:t>农贸市场</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120个</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建成赣州市</w:t>
            </w:r>
            <w:r>
              <w:rPr>
                <w:rFonts w:hint="eastAsia" w:ascii="仿宋" w:hAnsi="仿宋" w:eastAsia="仿宋" w:cs="仿宋"/>
                <w:b w:val="0"/>
                <w:bCs w:val="0"/>
                <w:color w:val="auto"/>
                <w:sz w:val="24"/>
                <w:szCs w:val="24"/>
                <w:highlight w:val="none"/>
                <w:lang w:eastAsia="zh-CN"/>
              </w:rPr>
              <w:t>重要产品追溯管理平台</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1个</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2"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人民群众对食品安全形势满意率</w:t>
            </w:r>
          </w:p>
        </w:tc>
        <w:tc>
          <w:tcPr>
            <w:tcW w:w="2348"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稳定在8</w:t>
            </w:r>
            <w:r>
              <w:rPr>
                <w:rFonts w:hint="eastAsia" w:ascii="仿宋" w:hAnsi="仿宋" w:eastAsia="仿宋" w:cs="仿宋"/>
                <w:color w:val="auto"/>
                <w:sz w:val="24"/>
                <w:szCs w:val="24"/>
                <w:highlight w:val="none"/>
                <w:lang w:val="en-US" w:eastAsia="zh-CN"/>
              </w:rPr>
              <w:t>0</w:t>
            </w:r>
            <w:r>
              <w:rPr>
                <w:rFonts w:hint="eastAsia" w:ascii="仿宋" w:hAnsi="仿宋" w:eastAsia="仿宋" w:cs="仿宋"/>
                <w:color w:val="auto"/>
                <w:sz w:val="24"/>
                <w:szCs w:val="24"/>
                <w:highlight w:val="none"/>
              </w:rPr>
              <w:t>%以上</w:t>
            </w:r>
          </w:p>
        </w:tc>
        <w:tc>
          <w:tcPr>
            <w:tcW w:w="1740" w:type="dxa"/>
            <w:shd w:val="clear" w:color="auto" w:fill="auto"/>
            <w:vAlign w:val="center"/>
          </w:tcPr>
          <w:p>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bl>
    <w:p>
      <w:pPr>
        <w:spacing w:before="156" w:beforeLines="50" w:after="156" w:afterLines="50" w:line="560" w:lineRule="exact"/>
        <w:jc w:val="center"/>
        <w:outlineLvl w:val="0"/>
        <w:rPr>
          <w:color w:val="auto"/>
          <w:sz w:val="32"/>
          <w:szCs w:val="32"/>
        </w:rPr>
      </w:pPr>
      <w:bookmarkStart w:id="185" w:name="_Toc22727"/>
      <w:bookmarkStart w:id="186" w:name="_Toc32235"/>
      <w:bookmarkStart w:id="187" w:name="_Toc21622"/>
      <w:bookmarkStart w:id="188" w:name="_Toc12757"/>
      <w:bookmarkStart w:id="189" w:name="_Toc21386"/>
      <w:bookmarkStart w:id="190" w:name="_Toc7692"/>
      <w:bookmarkStart w:id="191" w:name="_Toc3068"/>
      <w:bookmarkStart w:id="192" w:name="_Toc659"/>
      <w:bookmarkStart w:id="193" w:name="_Toc26661"/>
      <w:bookmarkStart w:id="194" w:name="_Toc30901"/>
      <w:bookmarkStart w:id="195" w:name="_Toc61273522"/>
      <w:bookmarkStart w:id="196" w:name="_Toc15905"/>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、主要任务</w:t>
      </w:r>
      <w:bookmarkEnd w:id="185"/>
      <w:bookmarkEnd w:id="186"/>
      <w:bookmarkEnd w:id="187"/>
      <w:bookmarkEnd w:id="188"/>
      <w:bookmarkEnd w:id="189"/>
      <w:bookmarkEnd w:id="190"/>
      <w:bookmarkEnd w:id="191"/>
      <w:bookmarkEnd w:id="192"/>
      <w:bookmarkEnd w:id="193"/>
      <w:bookmarkEnd w:id="194"/>
      <w:bookmarkEnd w:id="195"/>
      <w:bookmarkEnd w:id="196"/>
    </w:p>
    <w:p>
      <w:pPr>
        <w:spacing w:line="560" w:lineRule="exact"/>
        <w:ind w:firstLine="643" w:firstLineChars="200"/>
        <w:jc w:val="left"/>
        <w:outlineLvl w:val="1"/>
        <w:rPr>
          <w:rFonts w:ascii="楷体" w:hAnsi="楷体" w:eastAsia="楷体" w:cs="楷体"/>
          <w:b/>
          <w:bCs/>
          <w:color w:val="auto"/>
          <w:sz w:val="32"/>
          <w:szCs w:val="32"/>
        </w:rPr>
      </w:pPr>
      <w:bookmarkStart w:id="197" w:name="_Toc2907"/>
      <w:bookmarkStart w:id="198" w:name="_Toc21853"/>
      <w:bookmarkStart w:id="199" w:name="_Toc10400"/>
      <w:bookmarkStart w:id="200" w:name="_Toc29548"/>
      <w:bookmarkStart w:id="201" w:name="_Toc31031"/>
      <w:bookmarkStart w:id="202" w:name="_Toc21537"/>
      <w:bookmarkStart w:id="203" w:name="_Toc21625"/>
      <w:bookmarkStart w:id="204" w:name="_Toc61273523"/>
      <w:bookmarkStart w:id="205" w:name="_Toc19378"/>
      <w:bookmarkStart w:id="206" w:name="_Toc23785"/>
      <w:bookmarkStart w:id="207" w:name="_Toc23903"/>
      <w:bookmarkStart w:id="208" w:name="_Toc1495"/>
      <w:r>
        <w:rPr>
          <w:rFonts w:hint="eastAsia" w:ascii="楷体" w:hAnsi="楷体" w:eastAsia="楷体" w:cs="楷体"/>
          <w:b/>
          <w:bCs/>
          <w:color w:val="auto"/>
          <w:sz w:val="32"/>
          <w:szCs w:val="32"/>
        </w:rPr>
        <w:t>（一）坚持组织领导</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落实责任机制</w:t>
      </w:r>
      <w:bookmarkEnd w:id="197"/>
      <w:bookmarkEnd w:id="198"/>
      <w:bookmarkEnd w:id="199"/>
      <w:bookmarkEnd w:id="200"/>
      <w:bookmarkEnd w:id="201"/>
      <w:bookmarkEnd w:id="202"/>
      <w:bookmarkEnd w:id="203"/>
      <w:bookmarkEnd w:id="204"/>
      <w:bookmarkEnd w:id="205"/>
      <w:bookmarkEnd w:id="206"/>
      <w:bookmarkEnd w:id="207"/>
      <w:bookmarkEnd w:id="208"/>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坚持党对食品安全工作的全面领导，贯彻党政同责，各级党委和政府严格落实党中央、国务院和省、市政府关于食品安全工作的决策部署，加强对食品安全工作的组织领导，研究解决体制性、机制性、政策性问题，切实肩负起促一方发展、保一方平安的政治责任。各级党政领导班子成员按照职责分工，自觉履行组织领导和督促落实食品安全属地管理责任，食品安全工作责任得到层层压实。建立健全食品安全工作约谈制度，对存在食品安全治理风险隐患的党委、政府进行约谈，指出相关问题、提出整改要求并督促整改到位，落实食品安全工作行政责任追究，对贯彻落实食品安全工作决策部署不力、履行职责不力，给国家和人民利益造成严重损害的，依法依纪依规实行终身追责。建立健全食品安全容错纠错机制，依照监管事权清单，尽职免责、失职问责。</w:t>
      </w:r>
    </w:p>
    <w:p>
      <w:pPr>
        <w:spacing w:line="560" w:lineRule="exact"/>
        <w:ind w:firstLine="643" w:firstLineChars="200"/>
        <w:jc w:val="left"/>
        <w:outlineLvl w:val="1"/>
        <w:rPr>
          <w:rFonts w:ascii="楷体" w:hAnsi="楷体" w:eastAsia="楷体" w:cs="楷体"/>
          <w:b/>
          <w:bCs/>
          <w:color w:val="auto"/>
          <w:sz w:val="32"/>
          <w:szCs w:val="32"/>
        </w:rPr>
      </w:pPr>
      <w:bookmarkStart w:id="209" w:name="_Toc19827"/>
      <w:bookmarkStart w:id="210" w:name="_Toc16415"/>
      <w:bookmarkStart w:id="211" w:name="_Toc13445"/>
      <w:bookmarkStart w:id="212" w:name="_Toc3649"/>
      <w:bookmarkStart w:id="213" w:name="_Toc29592"/>
      <w:bookmarkStart w:id="214" w:name="_Toc11299"/>
      <w:bookmarkStart w:id="215" w:name="_Toc11555"/>
      <w:bookmarkStart w:id="216" w:name="_Toc1384"/>
      <w:bookmarkStart w:id="217" w:name="_Toc61273524"/>
      <w:bookmarkStart w:id="218" w:name="_Toc20088"/>
      <w:bookmarkStart w:id="219" w:name="_Toc23818"/>
      <w:bookmarkStart w:id="220" w:name="_Toc10105"/>
      <w:r>
        <w:rPr>
          <w:rFonts w:hint="eastAsia" w:ascii="楷体" w:hAnsi="楷体" w:eastAsia="楷体" w:cs="楷体"/>
          <w:b/>
          <w:bCs/>
          <w:color w:val="auto"/>
          <w:sz w:val="32"/>
          <w:szCs w:val="32"/>
        </w:rPr>
        <w:t>（二）坚持以人为本</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建设食安赣州</w:t>
      </w:r>
      <w:bookmarkEnd w:id="209"/>
      <w:bookmarkEnd w:id="210"/>
      <w:bookmarkEnd w:id="211"/>
      <w:bookmarkEnd w:id="212"/>
      <w:bookmarkEnd w:id="213"/>
      <w:bookmarkEnd w:id="214"/>
      <w:bookmarkEnd w:id="215"/>
      <w:bookmarkEnd w:id="216"/>
      <w:bookmarkEnd w:id="217"/>
      <w:bookmarkEnd w:id="218"/>
      <w:bookmarkEnd w:id="219"/>
      <w:bookmarkEnd w:id="220"/>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坚持人民至上、生命至上，把保障人民群众食品安全摆在首位，坚守安全底线，全面提高食品安全保障能力和水平。畅通和规范群众关于食品安全的诉求表达、利益协调、权益保障通道，完善信访制度，完善各类调解联动工作体系，构建源头防控、排查梳理、纠纷化解、应急处置的食品安全治理机制。通过食品安全“五进”活动，主动征集群众关心的食品安全问题，并且有效解决、及时反馈，让群众满意。结合消费者权益保护日、食品安全宣传周等重要节点，推动食品安全公益宣传活动，让食品安全深入人心。</w:t>
      </w:r>
    </w:p>
    <w:p>
      <w:pPr>
        <w:spacing w:line="560" w:lineRule="exact"/>
        <w:ind w:firstLine="643" w:firstLineChars="200"/>
        <w:jc w:val="left"/>
        <w:outlineLvl w:val="1"/>
        <w:rPr>
          <w:rFonts w:ascii="楷体" w:hAnsi="楷体" w:eastAsia="楷体" w:cs="楷体"/>
          <w:b/>
          <w:bCs/>
          <w:color w:val="auto"/>
          <w:sz w:val="32"/>
          <w:szCs w:val="32"/>
        </w:rPr>
      </w:pPr>
      <w:bookmarkStart w:id="221" w:name="_Toc13824"/>
      <w:bookmarkStart w:id="222" w:name="_Toc2512"/>
      <w:bookmarkStart w:id="223" w:name="_Toc8614"/>
      <w:bookmarkStart w:id="224" w:name="_Toc32033"/>
      <w:bookmarkStart w:id="225" w:name="_Toc24509"/>
      <w:bookmarkStart w:id="226" w:name="_Toc61273525"/>
      <w:bookmarkStart w:id="227" w:name="_Toc1941"/>
      <w:bookmarkStart w:id="228" w:name="_Toc23704"/>
      <w:bookmarkStart w:id="229" w:name="_Toc7878"/>
      <w:bookmarkStart w:id="230" w:name="_Toc27201"/>
      <w:bookmarkStart w:id="231" w:name="_Toc19131"/>
      <w:bookmarkStart w:id="232" w:name="_Toc31993"/>
      <w:r>
        <w:rPr>
          <w:rFonts w:hint="eastAsia" w:ascii="楷体" w:hAnsi="楷体" w:eastAsia="楷体" w:cs="楷体"/>
          <w:b/>
          <w:bCs/>
          <w:color w:val="auto"/>
          <w:sz w:val="32"/>
          <w:szCs w:val="32"/>
        </w:rPr>
        <w:t>（三）构建新发展格局</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推动高质量发展</w:t>
      </w:r>
      <w:bookmarkEnd w:id="221"/>
      <w:bookmarkEnd w:id="222"/>
      <w:bookmarkEnd w:id="223"/>
      <w:bookmarkEnd w:id="224"/>
      <w:bookmarkEnd w:id="225"/>
      <w:bookmarkEnd w:id="226"/>
      <w:bookmarkEnd w:id="227"/>
      <w:bookmarkEnd w:id="228"/>
      <w:bookmarkEnd w:id="229"/>
      <w:bookmarkEnd w:id="230"/>
      <w:bookmarkEnd w:id="231"/>
      <w:bookmarkEnd w:id="232"/>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不断提升食品全产业链供应链的现代化水平，把新发展理念贯穿食品产业发展的全产业链，切实推动食品产业改造升级，实现食品产业更高质量、更有效率、更为安全的发展。在种植养殖环节，继续实施质量兴农计划，以乡村振兴战略为引领，以优质安全、绿色发展为目标，以农业标准化示范区为引领，推动农业由增产导向转向提质导向，全面推行良好农业规范，对接供粤港澳大湾区农产品标准，促进农产品产业链深度融入，打造一批面向粤港澳的“米袋子”、“菜篮子”、“果园子”基地。培育新型农业生产服务主体，推广面向适度规模经营主体特别是小农户的病虫害统防统治专业化服务，逐步减少自行使用农药兽药的农户。在食品生产经营环节，鼓励食品生产经营者通过改进设备工艺、加强创新研发等措施，实现食品产业质量自控、安全高效，做好食品供应链设计和精准施策，推动食品全产业链优化升级</w:t>
      </w:r>
      <w:r>
        <w:rPr>
          <w:rFonts w:hint="eastAsia" w:eastAsia="仿宋_GB2312" w:cs="仿宋"/>
          <w:color w:val="auto"/>
          <w:sz w:val="32"/>
          <w:szCs w:val="32"/>
          <w:lang w:eastAsia="zh-CN"/>
        </w:rPr>
        <w:t>，</w:t>
      </w:r>
      <w:r>
        <w:rPr>
          <w:rFonts w:hint="eastAsia" w:eastAsia="仿宋_GB2312" w:cs="仿宋"/>
          <w:color w:val="auto"/>
          <w:sz w:val="32"/>
          <w:szCs w:val="32"/>
        </w:rPr>
        <w:t>加快构建富硒食品工业体系，重点发展粮油、水产、畜禽、休闲食品、果品功能食品等特色食品，打响赣南绿茶、赣南茶油等系列品牌，打造全国知名的健康食品加工基地。立足食品安全新发展阶段，制定完善食品新业态、新模式监管制度；推动食品产业转型升级，引导食品企业延伸产业链条，建立优质原料生产基地及配套设施，加强与电商平台深度融合，大力发展专业化、规模化冷链物流企业，保障生鲜食品各环节质量安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专栏1 粤港澳大湾区</w:t>
            </w:r>
            <w:r>
              <w:rPr>
                <w:rFonts w:hint="eastAsia" w:ascii="黑体" w:hAnsi="黑体" w:eastAsia="黑体" w:cs="黑体"/>
                <w:color w:val="auto"/>
                <w:sz w:val="32"/>
                <w:szCs w:val="32"/>
                <w:lang w:val="en-US" w:eastAsia="zh-CN"/>
              </w:rPr>
              <w:t>桥头堡</w:t>
            </w:r>
            <w:r>
              <w:rPr>
                <w:rFonts w:hint="eastAsia" w:ascii="黑体" w:hAnsi="黑体" w:eastAsia="黑体" w:cs="黑体"/>
                <w:color w:val="auto"/>
                <w:sz w:val="32"/>
                <w:szCs w:val="32"/>
              </w:rPr>
              <w:t>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pPr>
              <w:pStyle w:val="15"/>
              <w:spacing w:line="560" w:lineRule="exact"/>
              <w:ind w:left="0" w:leftChars="0" w:firstLine="640"/>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（一）“后花园”建设工程</w:t>
            </w:r>
          </w:p>
          <w:p>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rPr>
              <w:t>建成粤港澳大湾区“菜篮子”产品配送分中心、冷链物流中心，每年新增</w:t>
            </w:r>
            <w:r>
              <w:rPr>
                <w:rFonts w:hint="eastAsia" w:eastAsia="仿宋_GB2312" w:cs="仿宋"/>
                <w:color w:val="auto"/>
                <w:sz w:val="32"/>
                <w:szCs w:val="32"/>
                <w:lang w:val="en-US" w:eastAsia="zh-CN"/>
              </w:rPr>
              <w:t>20家</w:t>
            </w:r>
            <w:r>
              <w:rPr>
                <w:rFonts w:hint="eastAsia" w:eastAsia="仿宋_GB2312" w:cs="仿宋"/>
                <w:color w:val="auto"/>
                <w:sz w:val="32"/>
                <w:szCs w:val="32"/>
              </w:rPr>
              <w:t>以上大湾区“菜篮子”生产基地。</w:t>
            </w:r>
          </w:p>
        </w:tc>
      </w:tr>
    </w:tbl>
    <w:p>
      <w:pPr>
        <w:pStyle w:val="15"/>
        <w:spacing w:line="560" w:lineRule="exact"/>
        <w:ind w:left="560" w:firstLine="560"/>
        <w:rPr>
          <w:color w:val="auto"/>
          <w:sz w:val="32"/>
          <w:szCs w:val="32"/>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专栏2 食品产业规模倍增工程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lang w:val="en-US" w:eastAsia="zh-CN"/>
              </w:rPr>
              <w:t>构建富硒食品工业体系，打响赣南品牌。壮大饲料、肉制品、粮谷、酒与饮料、果蔬加工等产业，大力发展功能性食品、旅游休闲食品、绿色有机食品。力争</w:t>
            </w:r>
            <w:r>
              <w:rPr>
                <w:rFonts w:hint="eastAsia" w:eastAsia="仿宋_GB2312" w:cs="仿宋"/>
                <w:color w:val="auto"/>
                <w:sz w:val="32"/>
                <w:szCs w:val="32"/>
              </w:rPr>
              <w:t>到2025年，</w:t>
            </w:r>
            <w:r>
              <w:rPr>
                <w:rFonts w:hint="eastAsia" w:eastAsia="仿宋_GB2312" w:cs="仿宋"/>
                <w:color w:val="auto"/>
                <w:sz w:val="32"/>
                <w:szCs w:val="32"/>
                <w:lang w:val="en-US" w:eastAsia="zh-CN"/>
              </w:rPr>
              <w:t>全市</w:t>
            </w:r>
            <w:r>
              <w:rPr>
                <w:rFonts w:hint="eastAsia" w:eastAsia="仿宋_GB2312" w:cs="仿宋"/>
                <w:color w:val="auto"/>
                <w:sz w:val="32"/>
                <w:szCs w:val="32"/>
              </w:rPr>
              <w:t>食品</w:t>
            </w:r>
            <w:r>
              <w:rPr>
                <w:rFonts w:hint="eastAsia" w:eastAsia="仿宋_GB2312" w:cs="仿宋"/>
                <w:color w:val="auto"/>
                <w:sz w:val="32"/>
                <w:szCs w:val="32"/>
                <w:lang w:val="en-US" w:eastAsia="zh-CN"/>
              </w:rPr>
              <w:t>产业集群产值超千</w:t>
            </w:r>
            <w:r>
              <w:rPr>
                <w:rFonts w:hint="eastAsia" w:eastAsia="仿宋_GB2312" w:cs="仿宋"/>
                <w:color w:val="auto"/>
                <w:sz w:val="32"/>
                <w:szCs w:val="32"/>
              </w:rPr>
              <w:t>亿元。</w:t>
            </w:r>
          </w:p>
        </w:tc>
      </w:tr>
    </w:tbl>
    <w:p>
      <w:pPr>
        <w:spacing w:line="560" w:lineRule="exact"/>
        <w:ind w:firstLine="643" w:firstLineChars="200"/>
        <w:jc w:val="left"/>
        <w:outlineLvl w:val="1"/>
        <w:rPr>
          <w:rFonts w:hint="eastAsia" w:ascii="楷体" w:hAnsi="楷体" w:eastAsia="楷体" w:cs="楷体"/>
          <w:b/>
          <w:bCs/>
          <w:color w:val="auto"/>
          <w:sz w:val="32"/>
          <w:szCs w:val="32"/>
        </w:rPr>
      </w:pPr>
      <w:bookmarkStart w:id="233" w:name="_Toc61273526"/>
      <w:bookmarkStart w:id="234" w:name="_Toc31933"/>
      <w:bookmarkStart w:id="235" w:name="_Toc14641"/>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w:t>
            </w:r>
            <w:r>
              <w:rPr>
                <w:rFonts w:hint="eastAsia" w:ascii="黑体" w:hAnsi="黑体" w:eastAsia="黑体" w:cs="黑体"/>
                <w:color w:val="auto"/>
                <w:sz w:val="32"/>
                <w:szCs w:val="32"/>
                <w:lang w:val="en-US" w:eastAsia="zh-CN"/>
              </w:rPr>
              <w:t>3</w:t>
            </w:r>
            <w:r>
              <w:rPr>
                <w:rFonts w:hint="eastAsia" w:ascii="黑体" w:hAnsi="黑体" w:eastAsia="黑体" w:cs="黑体"/>
                <w:color w:val="auto"/>
                <w:sz w:val="32"/>
                <w:szCs w:val="32"/>
              </w:rPr>
              <w:t xml:space="preserve"> 商标品牌培育工程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pPr>
              <w:spacing w:line="560" w:lineRule="exact"/>
              <w:ind w:firstLine="640" w:firstLineChars="200"/>
              <w:rPr>
                <w:rFonts w:hint="default" w:eastAsia="仿宋_GB2312" w:cs="仿宋"/>
                <w:color w:val="auto"/>
                <w:sz w:val="32"/>
                <w:szCs w:val="32"/>
                <w:lang w:val="en-US" w:eastAsia="zh-CN"/>
              </w:rPr>
            </w:pPr>
            <w:r>
              <w:rPr>
                <w:rFonts w:hint="eastAsia" w:eastAsia="仿宋_GB2312" w:cs="仿宋"/>
                <w:color w:val="auto"/>
                <w:sz w:val="32"/>
                <w:szCs w:val="32"/>
              </w:rPr>
              <w:t>到2025年，</w:t>
            </w:r>
            <w:r>
              <w:rPr>
                <w:rFonts w:hint="eastAsia" w:eastAsia="仿宋_GB2312" w:cs="仿宋"/>
                <w:color w:val="auto"/>
                <w:sz w:val="32"/>
                <w:szCs w:val="32"/>
                <w:lang w:val="en-US" w:eastAsia="zh-CN"/>
              </w:rPr>
              <w:t>培育绿色有机农产品有效认证数达800个，</w:t>
            </w:r>
            <w:r>
              <w:rPr>
                <w:rFonts w:hint="eastAsia" w:eastAsia="仿宋_GB2312" w:cs="仿宋"/>
                <w:color w:val="auto"/>
                <w:sz w:val="32"/>
                <w:szCs w:val="32"/>
              </w:rPr>
              <w:t>农产品</w:t>
            </w:r>
            <w:r>
              <w:rPr>
                <w:rFonts w:hint="eastAsia" w:eastAsia="仿宋_GB2312" w:cs="仿宋"/>
                <w:color w:val="auto"/>
                <w:sz w:val="32"/>
                <w:szCs w:val="32"/>
                <w:lang w:val="en-US" w:eastAsia="zh-CN"/>
              </w:rPr>
              <w:t>地理标志商标50个以上</w:t>
            </w:r>
            <w:r>
              <w:rPr>
                <w:rFonts w:hint="eastAsia" w:eastAsia="仿宋_GB2312" w:cs="仿宋"/>
                <w:color w:val="auto"/>
                <w:sz w:val="32"/>
                <w:szCs w:val="32"/>
              </w:rPr>
              <w:t>，</w:t>
            </w:r>
            <w:r>
              <w:rPr>
                <w:rFonts w:hint="eastAsia" w:eastAsia="仿宋_GB2312" w:cs="仿宋"/>
                <w:color w:val="auto"/>
                <w:sz w:val="32"/>
                <w:szCs w:val="32"/>
                <w:lang w:val="en-US" w:eastAsia="zh-CN"/>
              </w:rPr>
              <w:t>富硒认证农产品达100个以上</w:t>
            </w:r>
            <w:r>
              <w:rPr>
                <w:rFonts w:hint="eastAsia" w:eastAsia="仿宋_GB2312" w:cs="仿宋"/>
                <w:color w:val="auto"/>
                <w:sz w:val="32"/>
                <w:szCs w:val="32"/>
              </w:rPr>
              <w:t>。</w:t>
            </w:r>
          </w:p>
        </w:tc>
      </w:tr>
    </w:tbl>
    <w:p>
      <w:pPr>
        <w:spacing w:line="560" w:lineRule="exact"/>
        <w:ind w:firstLine="643" w:firstLineChars="200"/>
        <w:jc w:val="left"/>
        <w:outlineLvl w:val="1"/>
        <w:rPr>
          <w:rFonts w:ascii="楷体" w:hAnsi="楷体" w:eastAsia="楷体" w:cs="楷体"/>
          <w:b/>
          <w:bCs/>
          <w:color w:val="auto"/>
          <w:sz w:val="32"/>
          <w:szCs w:val="32"/>
        </w:rPr>
      </w:pPr>
      <w:bookmarkStart w:id="236" w:name="_Toc30479"/>
      <w:bookmarkStart w:id="237" w:name="_Toc4934"/>
      <w:bookmarkStart w:id="238" w:name="_Toc10627"/>
      <w:bookmarkStart w:id="239" w:name="_Toc31551"/>
      <w:bookmarkStart w:id="240" w:name="_Toc3755"/>
      <w:bookmarkStart w:id="241" w:name="_Toc21204"/>
      <w:bookmarkStart w:id="242" w:name="_Toc1797"/>
      <w:bookmarkStart w:id="243" w:name="_Toc12539"/>
      <w:bookmarkStart w:id="244" w:name="_Toc31285"/>
      <w:r>
        <w:rPr>
          <w:rFonts w:hint="eastAsia" w:ascii="楷体" w:hAnsi="楷体" w:eastAsia="楷体" w:cs="楷体"/>
          <w:b/>
          <w:bCs/>
          <w:color w:val="auto"/>
          <w:sz w:val="32"/>
          <w:szCs w:val="32"/>
        </w:rPr>
        <w:t>（四）深化制度改革</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优化营商环境</w:t>
      </w:r>
      <w:bookmarkEnd w:id="233"/>
      <w:bookmarkEnd w:id="234"/>
      <w:bookmarkEnd w:id="235"/>
      <w:bookmarkEnd w:id="236"/>
      <w:bookmarkEnd w:id="237"/>
      <w:bookmarkEnd w:id="238"/>
      <w:bookmarkEnd w:id="239"/>
      <w:bookmarkEnd w:id="240"/>
      <w:bookmarkEnd w:id="241"/>
      <w:bookmarkEnd w:id="242"/>
      <w:bookmarkEnd w:id="243"/>
      <w:bookmarkEnd w:id="244"/>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深化食品生产经营许可改革，坚持“放管服”相结合，优化许可程序，逐步实现全程电子化，减少制度性交易成本。全面实行食品安全政府权责清单制度，不断推进食品许可的标准化、规范化、便利化，持续优化食品行业的营商环境，实现政务服务“一次不跑、全程网办”。坚持平等准入、公正监管、开放有序、诚信守法，形成高效规范、公平竞争的市场。实施涉企经营许可事项清单管理，加强事中事后监管，对食品新产业新业态实行包容审慎监管。</w:t>
      </w:r>
    </w:p>
    <w:p>
      <w:pPr>
        <w:spacing w:line="560" w:lineRule="exact"/>
        <w:ind w:firstLine="643" w:firstLineChars="200"/>
        <w:jc w:val="left"/>
        <w:outlineLvl w:val="1"/>
        <w:rPr>
          <w:rFonts w:ascii="楷体" w:hAnsi="楷体" w:eastAsia="楷体" w:cs="楷体"/>
          <w:b/>
          <w:bCs/>
          <w:color w:val="auto"/>
          <w:sz w:val="32"/>
          <w:szCs w:val="32"/>
        </w:rPr>
      </w:pPr>
      <w:bookmarkStart w:id="245" w:name="_Toc19812"/>
      <w:bookmarkStart w:id="246" w:name="_Toc21834"/>
      <w:bookmarkStart w:id="247" w:name="_Toc25910"/>
      <w:bookmarkStart w:id="248" w:name="_Toc28039"/>
      <w:bookmarkStart w:id="249" w:name="_Toc2551"/>
      <w:bookmarkStart w:id="250" w:name="_Toc3015"/>
      <w:bookmarkStart w:id="251" w:name="_Toc21346"/>
      <w:bookmarkStart w:id="252" w:name="_Toc15193"/>
      <w:bookmarkStart w:id="253" w:name="_Toc32301"/>
      <w:bookmarkStart w:id="254" w:name="_Toc32329"/>
      <w:bookmarkStart w:id="255" w:name="_Toc61273527"/>
      <w:bookmarkStart w:id="256" w:name="_Toc17020"/>
      <w:r>
        <w:rPr>
          <w:rFonts w:hint="eastAsia" w:ascii="楷体" w:hAnsi="楷体" w:eastAsia="楷体" w:cs="楷体"/>
          <w:b/>
          <w:bCs/>
          <w:color w:val="auto"/>
          <w:sz w:val="32"/>
          <w:szCs w:val="32"/>
        </w:rPr>
        <w:t>（五）加强队伍建设</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夯实监管力量</w:t>
      </w:r>
      <w:bookmarkEnd w:id="245"/>
      <w:bookmarkEnd w:id="246"/>
      <w:bookmarkEnd w:id="247"/>
      <w:bookmarkEnd w:id="248"/>
      <w:bookmarkEnd w:id="249"/>
      <w:bookmarkEnd w:id="250"/>
      <w:bookmarkEnd w:id="251"/>
      <w:bookmarkEnd w:id="252"/>
      <w:bookmarkEnd w:id="253"/>
      <w:bookmarkEnd w:id="254"/>
      <w:bookmarkEnd w:id="255"/>
      <w:bookmarkEnd w:id="256"/>
    </w:p>
    <w:p>
      <w:pPr>
        <w:spacing w:line="560" w:lineRule="exact"/>
        <w:ind w:firstLine="640" w:firstLineChars="200"/>
        <w:rPr>
          <w:rFonts w:hint="eastAsia" w:eastAsia="仿宋_GB2312" w:cs="仿宋"/>
          <w:color w:val="auto"/>
          <w:sz w:val="32"/>
          <w:szCs w:val="32"/>
        </w:rPr>
      </w:pPr>
      <w:r>
        <w:rPr>
          <w:rFonts w:hint="eastAsia" w:eastAsia="仿宋_GB2312" w:cs="仿宋"/>
          <w:color w:val="auto"/>
          <w:sz w:val="32"/>
          <w:szCs w:val="32"/>
        </w:rPr>
        <w:t>加强专业技术人才队伍建设，依法对食品生产经营活动进行合格确认和风险研判，各级政府通过招录选调等方式，按照</w:t>
      </w:r>
      <w:r>
        <w:rPr>
          <w:rFonts w:eastAsia="仿宋_GB2312" w:cs="仿宋"/>
          <w:color w:val="auto"/>
          <w:sz w:val="32"/>
          <w:szCs w:val="32"/>
        </w:rPr>
        <w:t>3</w:t>
      </w:r>
      <w:r>
        <w:rPr>
          <w:rFonts w:hint="eastAsia" w:eastAsia="仿宋_GB2312" w:cs="仿宋"/>
          <w:color w:val="auto"/>
          <w:sz w:val="32"/>
          <w:szCs w:val="32"/>
        </w:rPr>
        <w:t>人</w:t>
      </w:r>
      <w:r>
        <w:rPr>
          <w:rFonts w:eastAsia="仿宋_GB2312" w:cs="仿宋"/>
          <w:color w:val="auto"/>
          <w:sz w:val="32"/>
          <w:szCs w:val="32"/>
        </w:rPr>
        <w:t>/</w:t>
      </w:r>
      <w:r>
        <w:rPr>
          <w:rFonts w:hint="eastAsia" w:eastAsia="仿宋_GB2312" w:cs="仿宋"/>
          <w:color w:val="auto"/>
          <w:sz w:val="32"/>
          <w:szCs w:val="32"/>
        </w:rPr>
        <w:t>万人口的比例不断充实食品安全监管队伍，实施技术监督人才培训计划，创新人才培养发展体制机制，营造人才发展的良好环境，重点培养检验检测、预警监测专业人才，建立起职业化、专业化食品安全检查员队伍。</w:t>
      </w:r>
      <w:r>
        <w:rPr>
          <w:rFonts w:hint="eastAsia" w:eastAsia="仿宋_GB2312" w:cs="仿宋"/>
          <w:color w:val="auto"/>
          <w:sz w:val="32"/>
          <w:szCs w:val="32"/>
          <w:lang w:val="en-US" w:eastAsia="zh-CN"/>
        </w:rPr>
        <w:t>各监管部门建立食品安全工作人员培训考核管理制度，加强对执法人员食品安全法律、法规和专业知识与执法能力等的培训，确保其知识与能力匹配食品安全管理工作。</w:t>
      </w:r>
      <w:r>
        <w:rPr>
          <w:rFonts w:hint="eastAsia" w:eastAsia="仿宋_GB2312" w:cs="仿宋"/>
          <w:color w:val="auto"/>
          <w:sz w:val="32"/>
          <w:szCs w:val="32"/>
        </w:rPr>
        <w:t>继续夯实食品安全基层监管基础，县乡市场监管综合执法以食品安全为首要职责、农业综合执法以保障农产品质量安全为重点任务，确保执法人员</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执法经费、</w:t>
      </w:r>
      <w:r>
        <w:rPr>
          <w:rFonts w:hint="eastAsia" w:eastAsia="仿宋_GB2312" w:cs="仿宋"/>
          <w:color w:val="auto"/>
          <w:sz w:val="32"/>
          <w:szCs w:val="32"/>
        </w:rPr>
        <w:t>执法车辆、装备仪器、办</w:t>
      </w:r>
      <w:r>
        <w:rPr>
          <w:rFonts w:hint="eastAsia" w:eastAsia="仿宋_GB2312" w:cs="仿宋"/>
          <w:color w:val="auto"/>
          <w:sz w:val="32"/>
          <w:szCs w:val="32"/>
          <w:lang w:val="en-US" w:eastAsia="zh-CN"/>
        </w:rPr>
        <w:t>案场所等</w:t>
      </w:r>
      <w:r>
        <w:rPr>
          <w:rFonts w:hint="eastAsia" w:eastAsia="仿宋_GB2312" w:cs="仿宋"/>
          <w:color w:val="auto"/>
          <w:sz w:val="32"/>
          <w:szCs w:val="32"/>
        </w:rPr>
        <w:t>满足监管需要。建立全市食品安全专家库。建立专业化、系统化、高水准的食品监管专家库，建立统一协调和保障机制，细化专家分类，在检测检验、应急处置、风险评估、不良反应监测、教育培训、信息技术等方面，提供咨询及培训支持。</w:t>
      </w: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p>
      <w:pPr>
        <w:spacing w:line="560" w:lineRule="exact"/>
        <w:ind w:firstLine="640" w:firstLineChars="200"/>
        <w:rPr>
          <w:rFonts w:hint="eastAsia" w:eastAsia="仿宋_GB2312" w:cs="仿宋"/>
          <w:color w:val="auto"/>
          <w:sz w:val="32"/>
          <w:szCs w:val="32"/>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w:t>
            </w:r>
            <w:r>
              <w:rPr>
                <w:rFonts w:hint="eastAsia" w:ascii="黑体" w:hAnsi="黑体" w:eastAsia="黑体" w:cs="黑体"/>
                <w:color w:val="auto"/>
                <w:sz w:val="32"/>
                <w:szCs w:val="32"/>
                <w:lang w:val="en-US" w:eastAsia="zh-CN"/>
              </w:rPr>
              <w:t>4</w:t>
            </w:r>
            <w:r>
              <w:rPr>
                <w:rFonts w:hint="eastAsia" w:ascii="黑体" w:hAnsi="黑体" w:eastAsia="黑体" w:cs="黑体"/>
                <w:color w:val="auto"/>
                <w:sz w:val="32"/>
                <w:szCs w:val="32"/>
              </w:rPr>
              <w:t xml:space="preserve"> 食品安全监管队伍建设工程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640"/>
              <w:rPr>
                <w:rFonts w:hint="default" w:eastAsia="仿宋_GB2312"/>
                <w:color w:val="auto"/>
                <w:sz w:val="32"/>
                <w:szCs w:val="32"/>
                <w:lang w:val="en-US"/>
              </w:rPr>
            </w:pPr>
            <w:r>
              <w:rPr>
                <w:rFonts w:hint="eastAsia" w:eastAsia="仿宋_GB2312" w:cs="仿宋"/>
                <w:color w:val="auto"/>
                <w:sz w:val="32"/>
                <w:szCs w:val="32"/>
              </w:rPr>
              <w:t>各级政府按照</w:t>
            </w:r>
            <w:r>
              <w:rPr>
                <w:rFonts w:eastAsia="仿宋_GB2312" w:cs="仿宋"/>
                <w:color w:val="auto"/>
                <w:sz w:val="32"/>
                <w:szCs w:val="32"/>
              </w:rPr>
              <w:t>3</w:t>
            </w:r>
            <w:r>
              <w:rPr>
                <w:rFonts w:hint="eastAsia" w:eastAsia="仿宋_GB2312" w:cs="仿宋"/>
                <w:color w:val="auto"/>
                <w:sz w:val="32"/>
                <w:szCs w:val="32"/>
              </w:rPr>
              <w:t>人</w:t>
            </w:r>
            <w:r>
              <w:rPr>
                <w:rFonts w:eastAsia="仿宋_GB2312" w:cs="仿宋"/>
                <w:color w:val="auto"/>
                <w:sz w:val="32"/>
                <w:szCs w:val="32"/>
              </w:rPr>
              <w:t>/</w:t>
            </w:r>
            <w:r>
              <w:rPr>
                <w:rFonts w:hint="eastAsia" w:eastAsia="仿宋_GB2312" w:cs="仿宋"/>
                <w:color w:val="auto"/>
                <w:sz w:val="32"/>
                <w:szCs w:val="32"/>
              </w:rPr>
              <w:t>万人口的比例不断充实食品安全监管队伍</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各级财政配套相应资金，与高校或科研院所等机构合作，开展食品安全监管人员培训，打造一批</w:t>
            </w:r>
            <w:r>
              <w:rPr>
                <w:rFonts w:hint="eastAsia" w:eastAsia="仿宋_GB2312" w:cs="仿宋"/>
                <w:color w:val="auto"/>
                <w:sz w:val="32"/>
                <w:szCs w:val="32"/>
              </w:rPr>
              <w:t>职业化、专业化食品安全检查员队伍</w:t>
            </w:r>
            <w:r>
              <w:rPr>
                <w:rFonts w:hint="eastAsia" w:eastAsia="仿宋_GB2312" w:cs="仿宋"/>
                <w:color w:val="auto"/>
                <w:sz w:val="32"/>
                <w:szCs w:val="32"/>
                <w:lang w:val="en-US" w:eastAsia="zh-CN"/>
              </w:rPr>
              <w:t>。</w:t>
            </w:r>
          </w:p>
        </w:tc>
      </w:tr>
    </w:tbl>
    <w:p>
      <w:pPr>
        <w:spacing w:line="560" w:lineRule="exact"/>
        <w:ind w:firstLine="643" w:firstLineChars="200"/>
        <w:jc w:val="left"/>
        <w:outlineLvl w:val="1"/>
        <w:rPr>
          <w:rFonts w:ascii="楷体" w:hAnsi="楷体" w:eastAsia="楷体" w:cs="楷体"/>
          <w:b/>
          <w:bCs/>
          <w:color w:val="auto"/>
          <w:sz w:val="32"/>
          <w:szCs w:val="32"/>
        </w:rPr>
      </w:pPr>
      <w:bookmarkStart w:id="257" w:name="_Toc61273528"/>
      <w:bookmarkStart w:id="258" w:name="_Toc14806"/>
      <w:bookmarkStart w:id="259" w:name="_Toc27609"/>
      <w:bookmarkStart w:id="260" w:name="_Toc22349"/>
      <w:bookmarkStart w:id="261" w:name="_Toc1836"/>
      <w:bookmarkStart w:id="262" w:name="_Toc19659"/>
      <w:bookmarkStart w:id="263" w:name="_Toc25345"/>
      <w:bookmarkStart w:id="264" w:name="_Toc17292"/>
      <w:bookmarkStart w:id="265" w:name="_Toc27903"/>
      <w:bookmarkStart w:id="266" w:name="_Toc4742"/>
      <w:bookmarkStart w:id="267" w:name="_Toc11804"/>
      <w:bookmarkStart w:id="268" w:name="_Toc15911"/>
      <w:r>
        <w:rPr>
          <w:rFonts w:hint="eastAsia" w:ascii="楷体" w:hAnsi="楷体" w:eastAsia="楷体" w:cs="楷体"/>
          <w:b/>
          <w:bCs/>
          <w:color w:val="auto"/>
          <w:sz w:val="32"/>
          <w:szCs w:val="32"/>
        </w:rPr>
        <w:t>（六）强化技术支撑</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推进智慧监管</w:t>
      </w:r>
      <w:bookmarkEnd w:id="257"/>
      <w:bookmarkEnd w:id="258"/>
      <w:bookmarkEnd w:id="259"/>
      <w:bookmarkEnd w:id="260"/>
      <w:bookmarkEnd w:id="261"/>
      <w:bookmarkEnd w:id="262"/>
      <w:bookmarkEnd w:id="263"/>
      <w:bookmarkEnd w:id="264"/>
      <w:bookmarkEnd w:id="265"/>
      <w:bookmarkEnd w:id="266"/>
      <w:bookmarkEnd w:id="267"/>
      <w:bookmarkEnd w:id="268"/>
    </w:p>
    <w:p>
      <w:pPr>
        <w:numPr>
          <w:ilvl w:val="255"/>
          <w:numId w:val="0"/>
        </w:numPr>
        <w:spacing w:line="560" w:lineRule="exact"/>
        <w:ind w:firstLine="640" w:firstLineChars="200"/>
        <w:rPr>
          <w:rFonts w:hint="eastAsia" w:eastAsia="仿宋_GB2312" w:cs="仿宋"/>
          <w:color w:val="auto"/>
          <w:sz w:val="32"/>
          <w:szCs w:val="32"/>
          <w:lang w:eastAsia="zh-CN"/>
        </w:rPr>
      </w:pPr>
      <w:r>
        <w:rPr>
          <w:rFonts w:hint="eastAsia" w:eastAsia="仿宋_GB2312" w:cs="仿宋"/>
          <w:color w:val="auto"/>
          <w:sz w:val="32"/>
          <w:szCs w:val="32"/>
        </w:rPr>
        <w:t>推进市、县级食品检测中心建设和检测能力建设，整合县级现有资源，力争到“十四五”末，</w:t>
      </w:r>
      <w:r>
        <w:rPr>
          <w:rFonts w:hint="eastAsia" w:eastAsia="仿宋_GB2312" w:cs="仿宋"/>
          <w:color w:val="auto"/>
          <w:sz w:val="32"/>
          <w:szCs w:val="32"/>
          <w:lang w:val="en-US" w:eastAsia="zh-CN"/>
        </w:rPr>
        <w:t>全市以市综合检验检测院为龙头、各县(市、区)以</w:t>
      </w:r>
      <w:r>
        <w:rPr>
          <w:rFonts w:hint="eastAsia" w:eastAsia="仿宋_GB2312" w:cs="仿宋"/>
          <w:color w:val="auto"/>
          <w:sz w:val="32"/>
          <w:szCs w:val="32"/>
        </w:rPr>
        <w:t>龙南、瑞金</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安远</w:t>
      </w:r>
      <w:r>
        <w:rPr>
          <w:rFonts w:hint="eastAsia" w:eastAsia="仿宋_GB2312" w:cs="仿宋"/>
          <w:color w:val="auto"/>
          <w:sz w:val="32"/>
          <w:szCs w:val="32"/>
        </w:rPr>
        <w:t>等区域</w:t>
      </w:r>
      <w:r>
        <w:rPr>
          <w:rFonts w:hint="eastAsia" w:eastAsia="仿宋_GB2312" w:cs="仿宋"/>
          <w:color w:val="auto"/>
          <w:sz w:val="32"/>
          <w:szCs w:val="32"/>
          <w:lang w:eastAsia="zh-CN"/>
        </w:rPr>
        <w:t>性检验</w:t>
      </w:r>
      <w:r>
        <w:rPr>
          <w:rFonts w:hint="eastAsia" w:eastAsia="仿宋_GB2312" w:cs="仿宋"/>
          <w:color w:val="auto"/>
          <w:sz w:val="32"/>
          <w:szCs w:val="32"/>
        </w:rPr>
        <w:t>检测中心为</w:t>
      </w:r>
      <w:r>
        <w:rPr>
          <w:rFonts w:hint="eastAsia" w:eastAsia="仿宋_GB2312" w:cs="仿宋"/>
          <w:color w:val="auto"/>
          <w:sz w:val="32"/>
          <w:szCs w:val="32"/>
          <w:lang w:val="en-US" w:eastAsia="zh-CN"/>
        </w:rPr>
        <w:t>骨干和</w:t>
      </w:r>
      <w:r>
        <w:rPr>
          <w:rFonts w:hint="eastAsia" w:eastAsia="仿宋_GB2312" w:cs="仿宋"/>
          <w:color w:val="auto"/>
          <w:sz w:val="32"/>
          <w:szCs w:val="32"/>
        </w:rPr>
        <w:t>快检车</w:t>
      </w:r>
      <w:r>
        <w:rPr>
          <w:rFonts w:hint="eastAsia" w:eastAsia="仿宋_GB2312" w:cs="仿宋"/>
          <w:color w:val="auto"/>
          <w:sz w:val="32"/>
          <w:szCs w:val="32"/>
          <w:lang w:eastAsia="zh-CN"/>
        </w:rPr>
        <w:t>、</w:t>
      </w:r>
      <w:r>
        <w:rPr>
          <w:rFonts w:hint="eastAsia" w:eastAsia="仿宋_GB2312" w:cs="仿宋"/>
          <w:color w:val="auto"/>
          <w:sz w:val="32"/>
          <w:szCs w:val="32"/>
        </w:rPr>
        <w:t>快检室为基础</w:t>
      </w:r>
      <w:r>
        <w:rPr>
          <w:rFonts w:hint="eastAsia" w:eastAsia="仿宋_GB2312" w:cs="仿宋"/>
          <w:color w:val="auto"/>
          <w:sz w:val="32"/>
          <w:szCs w:val="32"/>
          <w:lang w:val="en-US" w:eastAsia="zh-CN"/>
        </w:rPr>
        <w:t>的</w:t>
      </w:r>
      <w:r>
        <w:rPr>
          <w:rFonts w:hint="eastAsia" w:eastAsia="仿宋_GB2312" w:cs="仿宋"/>
          <w:color w:val="auto"/>
          <w:sz w:val="32"/>
          <w:szCs w:val="32"/>
        </w:rPr>
        <w:t>食品和食用农产品检测网络</w:t>
      </w:r>
      <w:r>
        <w:rPr>
          <w:rFonts w:hint="eastAsia" w:eastAsia="仿宋_GB2312" w:cs="仿宋"/>
          <w:color w:val="auto"/>
          <w:sz w:val="32"/>
          <w:szCs w:val="32"/>
          <w:lang w:val="en-US" w:eastAsia="zh-CN"/>
        </w:rPr>
        <w:t>下，通过增资质扩项目来提升现有机构的检验检测能力做大做强，使</w:t>
      </w:r>
      <w:r>
        <w:rPr>
          <w:rFonts w:hint="eastAsia" w:eastAsia="仿宋_GB2312" w:cs="仿宋"/>
          <w:color w:val="auto"/>
          <w:sz w:val="32"/>
          <w:szCs w:val="32"/>
        </w:rPr>
        <w:t>检测能力与食品安全监管需求相匹配；加快乡镇派出机构食品快检室建设，构建食品安全检验检测网络。完善问题导向的抽检检测机制，增加高风险食品、低合格率食品的抽检频次，对监督抽检发现的不合格产品核查处置完成率达到</w:t>
      </w:r>
      <w:r>
        <w:rPr>
          <w:rFonts w:eastAsia="仿宋_GB2312" w:cs="仿宋"/>
          <w:color w:val="auto"/>
          <w:sz w:val="32"/>
          <w:szCs w:val="32"/>
        </w:rPr>
        <w:t>100%</w:t>
      </w:r>
      <w:r>
        <w:rPr>
          <w:rFonts w:hint="eastAsia" w:eastAsia="仿宋_GB2312" w:cs="仿宋"/>
          <w:color w:val="auto"/>
          <w:sz w:val="32"/>
          <w:szCs w:val="32"/>
        </w:rPr>
        <w:t>，提高监管的靶向性。发挥好“赣州智慧监管平台”作用，运用“互联网</w:t>
      </w:r>
      <w:r>
        <w:rPr>
          <w:rFonts w:eastAsia="仿宋_GB2312" w:cs="仿宋"/>
          <w:color w:val="auto"/>
          <w:sz w:val="32"/>
          <w:szCs w:val="32"/>
        </w:rPr>
        <w:t>+</w:t>
      </w:r>
      <w:r>
        <w:rPr>
          <w:rFonts w:hint="eastAsia" w:eastAsia="仿宋_GB2312" w:cs="仿宋"/>
          <w:color w:val="auto"/>
          <w:sz w:val="32"/>
          <w:szCs w:val="32"/>
        </w:rPr>
        <w:t>”等技术，开展食品安全监管。深入分析监管数据，挖掘数据背后的信息，实现有的放矢、“精准监管”。</w:t>
      </w:r>
      <w:r>
        <w:rPr>
          <w:rFonts w:hint="eastAsia" w:eastAsia="仿宋_GB2312" w:cs="仿宋"/>
          <w:color w:val="auto"/>
          <w:sz w:val="32"/>
          <w:szCs w:val="32"/>
          <w:lang w:val="en-US" w:eastAsia="zh-CN"/>
        </w:rPr>
        <w:t>推进</w:t>
      </w:r>
      <w:r>
        <w:rPr>
          <w:rFonts w:hint="eastAsia" w:eastAsia="仿宋_GB2312" w:cs="仿宋"/>
          <w:color w:val="auto"/>
          <w:sz w:val="32"/>
          <w:szCs w:val="32"/>
        </w:rPr>
        <w:t>食品安全追溯体系</w:t>
      </w:r>
      <w:r>
        <w:rPr>
          <w:rFonts w:hint="eastAsia" w:eastAsia="仿宋_GB2312" w:cs="仿宋"/>
          <w:color w:val="auto"/>
          <w:sz w:val="32"/>
          <w:szCs w:val="32"/>
          <w:lang w:val="en-US" w:eastAsia="zh-CN"/>
        </w:rPr>
        <w:t>建设</w:t>
      </w:r>
      <w:r>
        <w:rPr>
          <w:rFonts w:hint="eastAsia" w:eastAsia="仿宋_GB2312" w:cs="仿宋"/>
          <w:color w:val="auto"/>
          <w:sz w:val="32"/>
          <w:szCs w:val="32"/>
        </w:rPr>
        <w:t>，确保记录真实完整。到</w:t>
      </w:r>
      <w:r>
        <w:rPr>
          <w:rFonts w:hint="eastAsia" w:eastAsia="仿宋_GB2312" w:cs="仿宋"/>
          <w:color w:val="auto"/>
          <w:sz w:val="32"/>
          <w:szCs w:val="32"/>
          <w:lang w:eastAsia="zh-CN"/>
        </w:rPr>
        <w:t>“</w:t>
      </w:r>
      <w:r>
        <w:rPr>
          <w:rFonts w:hint="eastAsia" w:eastAsia="仿宋_GB2312" w:cs="仿宋"/>
          <w:color w:val="auto"/>
          <w:sz w:val="32"/>
          <w:szCs w:val="32"/>
        </w:rPr>
        <w:t>十四五</w:t>
      </w:r>
      <w:r>
        <w:rPr>
          <w:rFonts w:hint="eastAsia" w:eastAsia="仿宋_GB2312" w:cs="仿宋"/>
          <w:color w:val="auto"/>
          <w:sz w:val="32"/>
          <w:szCs w:val="32"/>
          <w:lang w:eastAsia="zh-CN"/>
        </w:rPr>
        <w:t>”</w:t>
      </w:r>
      <w:r>
        <w:rPr>
          <w:rFonts w:hint="eastAsia" w:eastAsia="仿宋_GB2312" w:cs="仿宋"/>
          <w:color w:val="auto"/>
          <w:sz w:val="32"/>
          <w:szCs w:val="32"/>
        </w:rPr>
        <w:t>末，</w:t>
      </w:r>
      <w:r>
        <w:rPr>
          <w:rFonts w:hint="eastAsia" w:eastAsia="仿宋_GB2312" w:cs="仿宋"/>
          <w:color w:val="auto"/>
          <w:sz w:val="32"/>
          <w:szCs w:val="32"/>
          <w:lang w:val="en-US" w:eastAsia="zh-CN"/>
        </w:rPr>
        <w:t>在</w:t>
      </w:r>
      <w:r>
        <w:rPr>
          <w:rFonts w:hint="eastAsia" w:eastAsia="仿宋_GB2312" w:cs="仿宋"/>
          <w:color w:val="auto"/>
          <w:sz w:val="32"/>
          <w:szCs w:val="32"/>
        </w:rPr>
        <w:t>我市食品工业企业、食品流通企业、餐饮服务单位及学校食堂建立</w:t>
      </w:r>
      <w:r>
        <w:rPr>
          <w:rFonts w:hint="eastAsia" w:eastAsia="仿宋_GB2312" w:cs="仿宋"/>
          <w:color w:val="auto"/>
          <w:sz w:val="32"/>
          <w:szCs w:val="32"/>
          <w:lang w:val="en-US" w:eastAsia="zh-CN"/>
        </w:rPr>
        <w:t>起</w:t>
      </w:r>
      <w:r>
        <w:rPr>
          <w:rFonts w:hint="eastAsia" w:eastAsia="仿宋_GB2312" w:cs="仿宋"/>
          <w:color w:val="auto"/>
          <w:sz w:val="32"/>
          <w:szCs w:val="32"/>
        </w:rPr>
        <w:t>食品安全追溯体系，保证食品来源可查、去向可追。</w:t>
      </w:r>
      <w:r>
        <w:rPr>
          <w:rFonts w:hint="eastAsia" w:eastAsia="仿宋_GB2312" w:cs="仿宋"/>
          <w:color w:val="auto"/>
          <w:sz w:val="32"/>
          <w:szCs w:val="32"/>
          <w:lang w:val="en-US" w:eastAsia="zh-CN"/>
        </w:rPr>
        <w:t>同时，</w:t>
      </w:r>
      <w:r>
        <w:rPr>
          <w:rFonts w:hint="eastAsia" w:eastAsia="仿宋_GB2312" w:cs="仿宋"/>
          <w:color w:val="auto"/>
          <w:sz w:val="32"/>
          <w:szCs w:val="32"/>
        </w:rPr>
        <w:t>鼓励食品生产经营者利用信息化手段</w:t>
      </w:r>
      <w:r>
        <w:rPr>
          <w:rFonts w:hint="eastAsia" w:eastAsia="仿宋_GB2312" w:cs="仿宋"/>
          <w:color w:val="auto"/>
          <w:sz w:val="32"/>
          <w:szCs w:val="32"/>
          <w:lang w:val="en-US" w:eastAsia="zh-CN"/>
        </w:rPr>
        <w:t>开展食品安全追溯体系建设</w:t>
      </w:r>
      <w:r>
        <w:rPr>
          <w:rFonts w:hint="eastAsia" w:eastAsia="仿宋_GB2312" w:cs="仿宋"/>
          <w:color w:val="auto"/>
          <w:sz w:val="32"/>
          <w:szCs w:val="32"/>
          <w:lang w:eastAsia="zh-CN"/>
        </w:rPr>
        <w:t>。</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w:t>
            </w:r>
            <w:r>
              <w:rPr>
                <w:rFonts w:hint="eastAsia" w:ascii="黑体" w:hAnsi="黑体" w:eastAsia="黑体" w:cs="黑体"/>
                <w:color w:val="auto"/>
                <w:sz w:val="32"/>
                <w:szCs w:val="32"/>
                <w:lang w:val="en-US" w:eastAsia="zh-CN"/>
              </w:rPr>
              <w:t>5</w:t>
            </w:r>
            <w:r>
              <w:rPr>
                <w:rFonts w:hint="eastAsia" w:ascii="黑体" w:hAnsi="黑体" w:eastAsia="黑体" w:cs="黑体"/>
                <w:color w:val="auto"/>
                <w:sz w:val="32"/>
                <w:szCs w:val="32"/>
              </w:rPr>
              <w:t xml:space="preserve"> 食品检验检测工程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lang w:val="en-US" w:eastAsia="zh-CN"/>
              </w:rPr>
              <w:t>全市以市综合检验检测院为龙头、各县(市、区)以</w:t>
            </w:r>
            <w:r>
              <w:rPr>
                <w:rFonts w:hint="eastAsia" w:eastAsia="仿宋_GB2312" w:cs="仿宋"/>
                <w:color w:val="auto"/>
                <w:sz w:val="32"/>
                <w:szCs w:val="32"/>
              </w:rPr>
              <w:t>龙南、瑞金</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安远</w:t>
            </w:r>
            <w:r>
              <w:rPr>
                <w:rFonts w:hint="eastAsia" w:eastAsia="仿宋_GB2312" w:cs="仿宋"/>
                <w:color w:val="auto"/>
                <w:sz w:val="32"/>
                <w:szCs w:val="32"/>
              </w:rPr>
              <w:t>等区域</w:t>
            </w:r>
            <w:r>
              <w:rPr>
                <w:rFonts w:hint="eastAsia" w:eastAsia="仿宋_GB2312" w:cs="仿宋"/>
                <w:color w:val="auto"/>
                <w:sz w:val="32"/>
                <w:szCs w:val="32"/>
                <w:lang w:eastAsia="zh-CN"/>
              </w:rPr>
              <w:t>性检验</w:t>
            </w:r>
            <w:r>
              <w:rPr>
                <w:rFonts w:hint="eastAsia" w:eastAsia="仿宋_GB2312" w:cs="仿宋"/>
                <w:color w:val="auto"/>
                <w:sz w:val="32"/>
                <w:szCs w:val="32"/>
              </w:rPr>
              <w:t>检测中心为</w:t>
            </w:r>
            <w:r>
              <w:rPr>
                <w:rFonts w:hint="eastAsia" w:eastAsia="仿宋_GB2312" w:cs="仿宋"/>
                <w:color w:val="auto"/>
                <w:sz w:val="32"/>
                <w:szCs w:val="32"/>
                <w:lang w:val="en-US" w:eastAsia="zh-CN"/>
              </w:rPr>
              <w:t>骨干和</w:t>
            </w:r>
            <w:r>
              <w:rPr>
                <w:rFonts w:hint="eastAsia" w:eastAsia="仿宋_GB2312" w:cs="仿宋"/>
                <w:color w:val="auto"/>
                <w:sz w:val="32"/>
                <w:szCs w:val="32"/>
              </w:rPr>
              <w:t>快检车</w:t>
            </w:r>
            <w:r>
              <w:rPr>
                <w:rFonts w:hint="eastAsia" w:eastAsia="仿宋_GB2312" w:cs="仿宋"/>
                <w:color w:val="auto"/>
                <w:sz w:val="32"/>
                <w:szCs w:val="32"/>
                <w:lang w:eastAsia="zh-CN"/>
              </w:rPr>
              <w:t>、</w:t>
            </w:r>
            <w:r>
              <w:rPr>
                <w:rFonts w:hint="eastAsia" w:eastAsia="仿宋_GB2312" w:cs="仿宋"/>
                <w:color w:val="auto"/>
                <w:sz w:val="32"/>
                <w:szCs w:val="32"/>
              </w:rPr>
              <w:t>快检室为基础</w:t>
            </w:r>
            <w:r>
              <w:rPr>
                <w:rFonts w:hint="eastAsia" w:eastAsia="仿宋_GB2312" w:cs="仿宋"/>
                <w:color w:val="auto"/>
                <w:sz w:val="32"/>
                <w:szCs w:val="32"/>
                <w:lang w:val="en-US" w:eastAsia="zh-CN"/>
              </w:rPr>
              <w:t>的</w:t>
            </w:r>
            <w:r>
              <w:rPr>
                <w:rFonts w:hint="eastAsia" w:eastAsia="仿宋_GB2312" w:cs="仿宋"/>
                <w:color w:val="auto"/>
                <w:sz w:val="32"/>
                <w:szCs w:val="32"/>
              </w:rPr>
              <w:t>食品和食用农产品检测网络</w:t>
            </w:r>
            <w:r>
              <w:rPr>
                <w:rFonts w:hint="eastAsia" w:eastAsia="仿宋_GB2312" w:cs="仿宋"/>
                <w:color w:val="auto"/>
                <w:sz w:val="32"/>
                <w:szCs w:val="32"/>
                <w:lang w:val="en-US" w:eastAsia="zh-CN"/>
              </w:rPr>
              <w:t>下，通过增资质扩项目来提升现有机构的检验检测能力做大做强，使</w:t>
            </w:r>
            <w:r>
              <w:rPr>
                <w:rFonts w:hint="eastAsia" w:eastAsia="仿宋_GB2312" w:cs="仿宋"/>
                <w:color w:val="auto"/>
                <w:sz w:val="32"/>
                <w:szCs w:val="32"/>
              </w:rPr>
              <w:t>检测能力与食品安全监管需求相匹配；加快乡镇派出机构食品快检室建设，构建食品安全检验检测网络。</w:t>
            </w:r>
          </w:p>
        </w:tc>
      </w:tr>
    </w:tbl>
    <w:p>
      <w:pPr>
        <w:spacing w:line="560" w:lineRule="exact"/>
        <w:ind w:firstLine="643" w:firstLineChars="200"/>
        <w:jc w:val="left"/>
        <w:outlineLvl w:val="1"/>
        <w:rPr>
          <w:rFonts w:ascii="楷体" w:hAnsi="楷体" w:eastAsia="楷体" w:cs="楷体"/>
          <w:b/>
          <w:bCs/>
          <w:color w:val="auto"/>
          <w:sz w:val="32"/>
          <w:szCs w:val="32"/>
        </w:rPr>
      </w:pPr>
      <w:bookmarkStart w:id="269" w:name="_Toc30931"/>
      <w:bookmarkStart w:id="270" w:name="_Toc15568"/>
      <w:bookmarkStart w:id="271" w:name="_Toc25138"/>
      <w:bookmarkStart w:id="272" w:name="_Toc10851"/>
      <w:bookmarkStart w:id="273" w:name="_Toc32519"/>
      <w:bookmarkStart w:id="274" w:name="_Toc5259"/>
      <w:bookmarkStart w:id="275" w:name="_Toc11634"/>
      <w:bookmarkStart w:id="276" w:name="_Toc27021"/>
      <w:bookmarkStart w:id="277" w:name="_Toc61273529"/>
      <w:bookmarkStart w:id="278" w:name="_Toc14863"/>
      <w:bookmarkStart w:id="279" w:name="_Toc5808"/>
      <w:bookmarkStart w:id="280" w:name="_Toc20564"/>
      <w:r>
        <w:rPr>
          <w:rFonts w:hint="eastAsia" w:ascii="楷体" w:hAnsi="楷体" w:eastAsia="楷体" w:cs="楷体"/>
          <w:b/>
          <w:bCs/>
          <w:color w:val="auto"/>
          <w:sz w:val="32"/>
          <w:szCs w:val="32"/>
        </w:rPr>
        <w:t>（七）落实全程监管</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保障食品安全</w:t>
      </w:r>
      <w:bookmarkEnd w:id="269"/>
      <w:bookmarkEnd w:id="270"/>
      <w:bookmarkEnd w:id="271"/>
      <w:bookmarkEnd w:id="272"/>
      <w:bookmarkEnd w:id="273"/>
      <w:bookmarkEnd w:id="274"/>
      <w:bookmarkEnd w:id="275"/>
      <w:bookmarkEnd w:id="276"/>
      <w:bookmarkEnd w:id="277"/>
      <w:bookmarkEnd w:id="278"/>
      <w:bookmarkEnd w:id="279"/>
      <w:bookmarkEnd w:id="280"/>
    </w:p>
    <w:p>
      <w:pPr>
        <w:numPr>
          <w:ilvl w:val="255"/>
          <w:numId w:val="0"/>
        </w:num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落实种植养殖、食品生产加工、食品流通、餐饮服务等环节的食品全过程监管工作。积极推行</w:t>
      </w:r>
      <w:r>
        <w:rPr>
          <w:rFonts w:hint="eastAsia" w:eastAsia="仿宋_GB2312" w:cs="仿宋"/>
          <w:color w:val="auto"/>
          <w:sz w:val="32"/>
          <w:szCs w:val="32"/>
          <w:lang w:val="en-US" w:eastAsia="zh-CN"/>
        </w:rPr>
        <w:t>食用</w:t>
      </w:r>
      <w:r>
        <w:rPr>
          <w:rFonts w:hint="eastAsia" w:eastAsia="仿宋_GB2312" w:cs="仿宋"/>
          <w:color w:val="auto"/>
          <w:sz w:val="32"/>
          <w:szCs w:val="32"/>
        </w:rPr>
        <w:t>农产品合格证制度，强化食用农产品产地准出和市场准入衔接，建立农产品质量追溯系统。</w:t>
      </w:r>
      <w:r>
        <w:rPr>
          <w:rFonts w:hint="eastAsia" w:eastAsia="仿宋_GB2312" w:cs="仿宋"/>
          <w:color w:val="auto"/>
          <w:sz w:val="32"/>
          <w:szCs w:val="32"/>
          <w:lang w:val="en-US" w:eastAsia="zh-CN"/>
        </w:rPr>
        <w:t>加强</w:t>
      </w:r>
      <w:r>
        <w:rPr>
          <w:rFonts w:hint="eastAsia" w:eastAsia="仿宋_GB2312" w:cs="仿宋"/>
          <w:color w:val="auto"/>
          <w:sz w:val="32"/>
          <w:szCs w:val="32"/>
        </w:rPr>
        <w:t>对食品生产企业食品安全风险等级管理，在日常监督检查全覆盖的基础上，</w:t>
      </w:r>
      <w:r>
        <w:rPr>
          <w:rFonts w:hint="eastAsia" w:eastAsia="仿宋_GB2312" w:cs="仿宋"/>
          <w:color w:val="auto"/>
          <w:sz w:val="32"/>
          <w:szCs w:val="32"/>
          <w:lang w:val="en-US" w:eastAsia="zh-CN"/>
        </w:rPr>
        <w:t>根据食品安全风险等级评定情况</w:t>
      </w:r>
      <w:r>
        <w:rPr>
          <w:rFonts w:hint="eastAsia" w:eastAsia="仿宋_GB2312" w:cs="仿宋"/>
          <w:color w:val="auto"/>
          <w:sz w:val="32"/>
          <w:szCs w:val="32"/>
        </w:rPr>
        <w:t>，</w:t>
      </w:r>
      <w:r>
        <w:rPr>
          <w:rFonts w:hint="eastAsia" w:eastAsia="仿宋_GB2312" w:cs="仿宋"/>
          <w:color w:val="auto"/>
          <w:sz w:val="32"/>
          <w:szCs w:val="32"/>
          <w:lang w:val="en-US" w:eastAsia="zh-CN"/>
        </w:rPr>
        <w:t>确定相应的监督检查频次，</w:t>
      </w:r>
      <w:r>
        <w:rPr>
          <w:rFonts w:hint="eastAsia" w:eastAsia="仿宋_GB2312" w:cs="仿宋"/>
          <w:color w:val="auto"/>
          <w:sz w:val="32"/>
          <w:szCs w:val="32"/>
        </w:rPr>
        <w:t>督促企业生产经营过程持续合规。督促食品流通企业严格执行进货查验记录制度和保质期标识等规定，严查临期、过期食品翻新销售。建立覆盖基地贮藏、物流配送、市场批发、销售终端全链条的冷链配送系统，严格执行全过程温控标准和规范，防止食物脱冷变质。督促餐饮服务提供者严格执行《餐饮服务食品安全操作规范》，逐步实现餐饮单位规范化管理。在餐饮单位“明厨亮灶”建设的基础上，推进“互联网</w:t>
      </w:r>
      <w:r>
        <w:rPr>
          <w:rFonts w:eastAsia="仿宋_GB2312" w:cs="仿宋"/>
          <w:color w:val="auto"/>
          <w:sz w:val="32"/>
          <w:szCs w:val="32"/>
        </w:rPr>
        <w:t>+</w:t>
      </w:r>
      <w:r>
        <w:rPr>
          <w:rFonts w:hint="eastAsia" w:eastAsia="仿宋_GB2312" w:cs="仿宋"/>
          <w:color w:val="auto"/>
          <w:sz w:val="32"/>
          <w:szCs w:val="32"/>
        </w:rPr>
        <w:t>明厨亮灶”，倒逼餐饮单位落实食品安全主体责任。强化主管部门对学校、托幼机构、养老机构、医疗机构、建筑工地食堂等集中用餐单位的食品安全教育和日常管理。严格落实网络订餐、集中配餐平台责任，保证线上线下、总部分部餐饮同标同质。</w:t>
      </w:r>
      <w:r>
        <w:rPr>
          <w:rFonts w:hint="eastAsia" w:eastAsia="仿宋_GB2312" w:cs="仿宋"/>
          <w:color w:val="auto"/>
          <w:sz w:val="32"/>
          <w:szCs w:val="32"/>
          <w:lang w:val="en-US" w:eastAsia="zh-CN"/>
        </w:rPr>
        <w:t>开展食品生产企业食品安全管理人员监督抽查考核，考核覆盖率达100%。</w:t>
      </w:r>
      <w:r>
        <w:rPr>
          <w:rFonts w:hint="eastAsia" w:eastAsia="仿宋_GB2312" w:cs="仿宋"/>
          <w:color w:val="auto"/>
          <w:sz w:val="32"/>
          <w:szCs w:val="32"/>
        </w:rPr>
        <w:t>督促食品生产经营企业建立健全食品安全管理制度，对职工进行食品安全</w:t>
      </w:r>
      <w:r>
        <w:rPr>
          <w:rFonts w:hint="eastAsia" w:eastAsia="仿宋_GB2312" w:cs="仿宋"/>
          <w:color w:val="auto"/>
          <w:sz w:val="32"/>
          <w:szCs w:val="32"/>
          <w:lang w:val="en-US" w:eastAsia="zh-CN"/>
        </w:rPr>
        <w:t>法律法规、科学</w:t>
      </w:r>
      <w:r>
        <w:rPr>
          <w:rFonts w:hint="eastAsia" w:eastAsia="仿宋_GB2312" w:cs="仿宋"/>
          <w:color w:val="auto"/>
          <w:sz w:val="32"/>
          <w:szCs w:val="32"/>
        </w:rPr>
        <w:t>知识培训，每年接受培训时</w:t>
      </w:r>
      <w:r>
        <w:rPr>
          <w:rFonts w:hint="eastAsia" w:eastAsia="仿宋_GB2312" w:cs="仿宋"/>
          <w:color w:val="auto"/>
          <w:sz w:val="32"/>
          <w:szCs w:val="32"/>
          <w:lang w:val="en-US" w:eastAsia="zh-CN"/>
        </w:rPr>
        <w:t>长</w:t>
      </w:r>
      <w:r>
        <w:rPr>
          <w:rFonts w:hint="eastAsia" w:eastAsia="仿宋_GB2312" w:cs="仿宋"/>
          <w:color w:val="auto"/>
          <w:sz w:val="32"/>
          <w:szCs w:val="32"/>
        </w:rPr>
        <w:t>不少于</w:t>
      </w:r>
      <w:r>
        <w:rPr>
          <w:rFonts w:eastAsia="仿宋_GB2312" w:cs="仿宋"/>
          <w:color w:val="auto"/>
          <w:sz w:val="32"/>
          <w:szCs w:val="32"/>
        </w:rPr>
        <w:t>40</w:t>
      </w:r>
      <w:r>
        <w:rPr>
          <w:rFonts w:hint="eastAsia" w:eastAsia="仿宋_GB2312" w:cs="仿宋"/>
          <w:color w:val="auto"/>
          <w:sz w:val="32"/>
          <w:szCs w:val="32"/>
          <w:lang w:val="en-US" w:eastAsia="zh-CN"/>
        </w:rPr>
        <w:t>小</w:t>
      </w:r>
      <w:r>
        <w:rPr>
          <w:rFonts w:hint="eastAsia" w:eastAsia="仿宋_GB2312" w:cs="仿宋"/>
          <w:color w:val="auto"/>
          <w:sz w:val="32"/>
          <w:szCs w:val="32"/>
        </w:rPr>
        <w:t>时。</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0" w:firstLineChars="0"/>
              <w:jc w:val="center"/>
              <w:rPr>
                <w:rFonts w:eastAsia="仿宋_GB2312"/>
                <w:color w:val="auto"/>
                <w:sz w:val="32"/>
                <w:szCs w:val="32"/>
              </w:rPr>
            </w:pPr>
            <w:r>
              <w:rPr>
                <w:rFonts w:hint="eastAsia" w:ascii="黑体" w:hAnsi="黑体" w:eastAsia="黑体" w:cs="黑体"/>
                <w:color w:val="auto"/>
                <w:sz w:val="32"/>
                <w:szCs w:val="32"/>
              </w:rPr>
              <w:t>专栏6 食品追溯体系建设工程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rPr>
              <w:t>在初级农产品、食品生产加工、经营环节建设食品追溯体系，实现食品全程可追溯。</w:t>
            </w:r>
          </w:p>
        </w:tc>
      </w:tr>
    </w:tbl>
    <w:p>
      <w:pPr>
        <w:pStyle w:val="15"/>
        <w:spacing w:line="560" w:lineRule="exact"/>
        <w:ind w:left="0" w:leftChars="0" w:firstLine="0" w:firstLineChars="0"/>
        <w:rPr>
          <w:color w:val="auto"/>
          <w:sz w:val="32"/>
          <w:szCs w:val="32"/>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0" w:firstLineChars="0"/>
              <w:jc w:val="center"/>
              <w:rPr>
                <w:rFonts w:eastAsia="仿宋_GB2312"/>
                <w:color w:val="auto"/>
                <w:sz w:val="32"/>
                <w:szCs w:val="32"/>
              </w:rPr>
            </w:pPr>
            <w:r>
              <w:rPr>
                <w:rFonts w:hint="eastAsia" w:ascii="黑体" w:hAnsi="黑体" w:eastAsia="黑体" w:cs="黑体"/>
                <w:color w:val="auto"/>
                <w:sz w:val="32"/>
                <w:szCs w:val="32"/>
              </w:rPr>
              <w:t>专栏7“互联网+明厨亮灶”工程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640"/>
              <w:rPr>
                <w:rFonts w:hint="eastAsia" w:eastAsia="仿宋_GB2312"/>
                <w:color w:val="auto"/>
                <w:sz w:val="32"/>
                <w:szCs w:val="32"/>
                <w:lang w:val="en-US" w:eastAsia="zh-CN"/>
              </w:rPr>
            </w:pPr>
            <w:r>
              <w:rPr>
                <w:rFonts w:hint="eastAsia" w:eastAsia="仿宋_GB2312" w:cs="仿宋"/>
                <w:color w:val="auto"/>
                <w:sz w:val="32"/>
                <w:szCs w:val="32"/>
              </w:rPr>
              <w:t>在餐饮单位“明厨亮灶”建设的基础上，推进“互联网</w:t>
            </w:r>
            <w:r>
              <w:rPr>
                <w:rFonts w:eastAsia="仿宋_GB2312" w:cs="仿宋"/>
                <w:color w:val="auto"/>
                <w:sz w:val="32"/>
                <w:szCs w:val="32"/>
              </w:rPr>
              <w:t>+</w:t>
            </w:r>
            <w:r>
              <w:rPr>
                <w:rFonts w:hint="eastAsia" w:eastAsia="仿宋_GB2312" w:cs="仿宋"/>
                <w:color w:val="auto"/>
                <w:sz w:val="32"/>
                <w:szCs w:val="32"/>
              </w:rPr>
              <w:t>明厨亮灶”。</w:t>
            </w:r>
          </w:p>
        </w:tc>
      </w:tr>
    </w:tbl>
    <w:p>
      <w:pPr>
        <w:spacing w:line="560" w:lineRule="exact"/>
        <w:ind w:firstLine="643" w:firstLineChars="200"/>
        <w:jc w:val="left"/>
        <w:outlineLvl w:val="1"/>
        <w:rPr>
          <w:rFonts w:ascii="楷体" w:hAnsi="楷体" w:eastAsia="楷体" w:cs="楷体"/>
          <w:b/>
          <w:bCs/>
          <w:color w:val="auto"/>
          <w:sz w:val="32"/>
          <w:szCs w:val="32"/>
        </w:rPr>
      </w:pPr>
      <w:bookmarkStart w:id="281" w:name="_Toc22200"/>
      <w:bookmarkStart w:id="282" w:name="_Toc22016"/>
      <w:bookmarkStart w:id="283" w:name="_Toc20885"/>
      <w:bookmarkStart w:id="284" w:name="_Toc6023"/>
      <w:bookmarkStart w:id="285" w:name="_Toc7423"/>
      <w:bookmarkStart w:id="286" w:name="_Toc10148"/>
      <w:bookmarkStart w:id="287" w:name="_Toc28313"/>
      <w:bookmarkStart w:id="288" w:name="_Toc15124"/>
      <w:bookmarkStart w:id="289" w:name="_Toc15454"/>
      <w:bookmarkStart w:id="290" w:name="_Toc3781"/>
      <w:bookmarkStart w:id="291" w:name="_Toc61273530"/>
      <w:bookmarkStart w:id="292" w:name="_Toc16948"/>
      <w:r>
        <w:rPr>
          <w:rFonts w:hint="eastAsia" w:ascii="楷体" w:hAnsi="楷体" w:eastAsia="楷体" w:cs="楷体"/>
          <w:b/>
          <w:bCs/>
          <w:color w:val="auto"/>
          <w:sz w:val="32"/>
          <w:szCs w:val="32"/>
        </w:rPr>
        <w:t>（八）打击违法犯罪</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联合信用惩戒</w:t>
      </w:r>
      <w:bookmarkEnd w:id="281"/>
      <w:bookmarkEnd w:id="282"/>
      <w:bookmarkEnd w:id="283"/>
      <w:bookmarkEnd w:id="284"/>
      <w:bookmarkEnd w:id="285"/>
      <w:bookmarkEnd w:id="286"/>
      <w:bookmarkEnd w:id="287"/>
      <w:bookmarkEnd w:id="288"/>
      <w:bookmarkEnd w:id="289"/>
      <w:bookmarkEnd w:id="290"/>
      <w:bookmarkEnd w:id="291"/>
      <w:bookmarkEnd w:id="292"/>
    </w:p>
    <w:p>
      <w:pPr>
        <w:numPr>
          <w:ilvl w:val="255"/>
          <w:numId w:val="0"/>
        </w:num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继续保持高压态势，严厉打击各类食品安全违法行为，对食品安全违法行为“零容忍”。严厉打击刑事犯罪，加强行政执法与刑事司法衔接，积极完善食品安全民事与行政公益诉讼，做好与民事和行政诉讼的衔接与配合，实现依法应查办的食品安全违法案件查办率达到</w:t>
      </w:r>
      <w:r>
        <w:rPr>
          <w:rFonts w:eastAsia="仿宋_GB2312" w:cs="仿宋"/>
          <w:color w:val="auto"/>
          <w:sz w:val="32"/>
          <w:szCs w:val="32"/>
        </w:rPr>
        <w:t>100%</w:t>
      </w:r>
      <w:r>
        <w:rPr>
          <w:rFonts w:hint="eastAsia" w:eastAsia="仿宋_GB2312" w:cs="仿宋"/>
          <w:color w:val="auto"/>
          <w:sz w:val="32"/>
          <w:szCs w:val="32"/>
        </w:rPr>
        <w:t>，应公开的监督执法、行政处罚信息公开率达到</w:t>
      </w:r>
      <w:r>
        <w:rPr>
          <w:rFonts w:eastAsia="仿宋_GB2312" w:cs="仿宋"/>
          <w:color w:val="auto"/>
          <w:sz w:val="32"/>
          <w:szCs w:val="32"/>
        </w:rPr>
        <w:t>100%</w:t>
      </w:r>
      <w:r>
        <w:rPr>
          <w:rFonts w:hint="eastAsia" w:eastAsia="仿宋_GB2312" w:cs="仿宋"/>
          <w:color w:val="auto"/>
          <w:sz w:val="32"/>
          <w:szCs w:val="32"/>
        </w:rPr>
        <w:t>。推进食品行业诚信体系建设，建立全市食品生产经营者信用档案，实行食品生产经营者信用等级分类管理，进一步完善食品安全严重失信者名单认定机制，加大对失信人员联合惩戒力度。</w:t>
      </w:r>
    </w:p>
    <w:p>
      <w:pPr>
        <w:spacing w:line="560" w:lineRule="exact"/>
        <w:ind w:firstLine="643" w:firstLineChars="200"/>
        <w:jc w:val="left"/>
        <w:outlineLvl w:val="1"/>
        <w:rPr>
          <w:rFonts w:ascii="楷体" w:hAnsi="楷体" w:eastAsia="楷体" w:cs="楷体"/>
          <w:b/>
          <w:bCs/>
          <w:color w:val="auto"/>
          <w:sz w:val="32"/>
          <w:szCs w:val="32"/>
        </w:rPr>
      </w:pPr>
      <w:bookmarkStart w:id="293" w:name="_Toc61273531"/>
      <w:bookmarkStart w:id="294" w:name="_Toc22230"/>
      <w:bookmarkStart w:id="295" w:name="_Toc5380"/>
      <w:bookmarkStart w:id="296" w:name="_Toc22183"/>
      <w:bookmarkStart w:id="297" w:name="_Toc27024"/>
      <w:bookmarkStart w:id="298" w:name="_Toc29008"/>
      <w:bookmarkStart w:id="299" w:name="_Toc15831"/>
      <w:bookmarkStart w:id="300" w:name="_Toc17105"/>
      <w:bookmarkStart w:id="301" w:name="_Toc25888"/>
      <w:bookmarkStart w:id="302" w:name="_Toc21317"/>
      <w:bookmarkStart w:id="303" w:name="_Toc14164"/>
      <w:bookmarkStart w:id="304" w:name="_Toc2956"/>
      <w:r>
        <w:rPr>
          <w:rFonts w:hint="eastAsia" w:ascii="楷体" w:hAnsi="楷体" w:eastAsia="楷体" w:cs="楷体"/>
          <w:b/>
          <w:bCs/>
          <w:color w:val="auto"/>
          <w:sz w:val="32"/>
          <w:szCs w:val="32"/>
        </w:rPr>
        <w:t>（九）树立风险意识</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提高应对能力</w:t>
      </w:r>
      <w:bookmarkEnd w:id="293"/>
      <w:bookmarkEnd w:id="294"/>
      <w:bookmarkEnd w:id="295"/>
      <w:bookmarkEnd w:id="296"/>
      <w:bookmarkEnd w:id="297"/>
      <w:bookmarkEnd w:id="298"/>
      <w:bookmarkEnd w:id="299"/>
      <w:bookmarkEnd w:id="300"/>
      <w:bookmarkEnd w:id="301"/>
      <w:bookmarkEnd w:id="302"/>
      <w:bookmarkEnd w:id="303"/>
      <w:bookmarkEnd w:id="304"/>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坚持系统观念，加强对食品安全风险防范的前瞻性和全局性思考，提升突发事件应急处置能力。推动</w:t>
      </w:r>
      <w:r>
        <w:rPr>
          <w:rFonts w:hint="eastAsia" w:eastAsia="仿宋_GB2312" w:cs="仿宋"/>
          <w:color w:val="auto"/>
          <w:sz w:val="32"/>
          <w:szCs w:val="32"/>
          <w:lang w:val="en-US" w:eastAsia="zh-CN"/>
        </w:rPr>
        <w:t>有条件的</w:t>
      </w:r>
      <w:r>
        <w:rPr>
          <w:rFonts w:hint="eastAsia" w:eastAsia="仿宋_GB2312" w:cs="仿宋"/>
          <w:color w:val="auto"/>
          <w:sz w:val="32"/>
          <w:szCs w:val="32"/>
        </w:rPr>
        <w:t>食品生产企业建立危害与关键控制点体系，提高风险防管控能力；食品生产经营者</w:t>
      </w:r>
      <w:r>
        <w:rPr>
          <w:rFonts w:hint="eastAsia" w:eastAsia="仿宋_GB2312" w:cs="仿宋"/>
          <w:color w:val="auto"/>
          <w:sz w:val="32"/>
          <w:szCs w:val="32"/>
          <w:lang w:val="en-US" w:eastAsia="zh-CN"/>
        </w:rPr>
        <w:t>建立完善</w:t>
      </w:r>
      <w:r>
        <w:rPr>
          <w:rFonts w:hint="eastAsia" w:eastAsia="仿宋_GB2312" w:cs="仿宋"/>
          <w:color w:val="auto"/>
          <w:sz w:val="32"/>
          <w:szCs w:val="32"/>
        </w:rPr>
        <w:t>食品安全风险自查评价，</w:t>
      </w:r>
      <w:r>
        <w:rPr>
          <w:rFonts w:hint="eastAsia" w:eastAsia="仿宋_GB2312" w:cs="仿宋"/>
          <w:color w:val="auto"/>
          <w:sz w:val="32"/>
          <w:szCs w:val="32"/>
          <w:lang w:val="en-US" w:eastAsia="zh-CN"/>
        </w:rPr>
        <w:t>通过自评及时发现风险并</w:t>
      </w:r>
      <w:r>
        <w:rPr>
          <w:rFonts w:hint="eastAsia" w:eastAsia="仿宋_GB2312" w:cs="仿宋"/>
          <w:color w:val="auto"/>
          <w:sz w:val="32"/>
          <w:szCs w:val="32"/>
        </w:rPr>
        <w:t>采取整改措施。修订市、县两级食品安全事故应急预案，进一步完善事故调查、处置、报告、信息发布工作程序。进一步完善食品安全事件预警监测、组织指挥、应急保障、信息报告制度和工作体系，提升应急响应、现场处置、医疗救治能力。加强舆情监测，建立重大舆情收集、分析研判和快速响应机制。经过五年努力，整体推进食品安全风险防范应对能力再上新台阶，严把从农田到餐桌的每一道防线</w:t>
      </w:r>
      <w:r>
        <w:rPr>
          <w:rFonts w:eastAsia="仿宋_GB2312" w:cs="仿宋"/>
          <w:color w:val="auto"/>
          <w:sz w:val="32"/>
          <w:szCs w:val="32"/>
        </w:rPr>
        <w:t>,</w:t>
      </w:r>
      <w:r>
        <w:rPr>
          <w:rFonts w:hint="eastAsia" w:eastAsia="仿宋_GB2312" w:cs="仿宋"/>
          <w:color w:val="auto"/>
          <w:sz w:val="32"/>
          <w:szCs w:val="32"/>
        </w:rPr>
        <w:t>促一方发展，保一方平安。完善风险分担制度，鼓励食品生产经营企业主动参加食品安全责任保险。</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0" w:firstLineChars="0"/>
              <w:jc w:val="center"/>
              <w:rPr>
                <w:rFonts w:eastAsia="仿宋_GB2312"/>
                <w:color w:val="auto"/>
                <w:sz w:val="32"/>
                <w:szCs w:val="32"/>
              </w:rPr>
            </w:pPr>
            <w:r>
              <w:rPr>
                <w:rFonts w:hint="eastAsia" w:ascii="黑体" w:hAnsi="黑体" w:eastAsia="黑体" w:cs="黑体"/>
                <w:color w:val="auto"/>
                <w:sz w:val="32"/>
                <w:szCs w:val="32"/>
              </w:rPr>
              <w:t>专栏8 食品安全应急体系建设工程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rPr>
              <w:t>修订市、县两级食品安全事故应急预案，进一步完善事故调查、处置、报告、信息发布工作程序。建立市、县两级食品安全事故应急处置专家库。推动规模以上食品生产企业建立危害与关键控制点体系，提高风险防管控能力。</w:t>
            </w:r>
          </w:p>
        </w:tc>
      </w:tr>
    </w:tbl>
    <w:p>
      <w:pPr>
        <w:spacing w:line="560" w:lineRule="exact"/>
        <w:ind w:firstLine="643" w:firstLineChars="200"/>
        <w:jc w:val="left"/>
        <w:outlineLvl w:val="1"/>
        <w:rPr>
          <w:rFonts w:ascii="楷体" w:hAnsi="楷体" w:eastAsia="楷体" w:cs="楷体"/>
          <w:b/>
          <w:bCs/>
          <w:color w:val="auto"/>
          <w:sz w:val="32"/>
          <w:szCs w:val="32"/>
        </w:rPr>
      </w:pPr>
      <w:bookmarkStart w:id="305" w:name="_Toc2293"/>
      <w:bookmarkStart w:id="306" w:name="_Toc6093"/>
      <w:bookmarkStart w:id="307" w:name="_Toc7800"/>
      <w:bookmarkStart w:id="308" w:name="_Toc61273532"/>
      <w:bookmarkStart w:id="309" w:name="_Toc17000"/>
      <w:bookmarkStart w:id="310" w:name="_Toc6144"/>
      <w:bookmarkStart w:id="311" w:name="_Toc24413"/>
      <w:bookmarkStart w:id="312" w:name="_Toc15101"/>
      <w:bookmarkStart w:id="313" w:name="_Toc26617"/>
      <w:bookmarkStart w:id="314" w:name="_Toc13804"/>
      <w:bookmarkStart w:id="315" w:name="_Toc5997"/>
      <w:bookmarkStart w:id="316" w:name="_Toc18959"/>
      <w:r>
        <w:rPr>
          <w:rFonts w:hint="eastAsia" w:ascii="楷体" w:hAnsi="楷体" w:eastAsia="楷体" w:cs="楷体"/>
          <w:b/>
          <w:bCs/>
          <w:color w:val="auto"/>
          <w:sz w:val="32"/>
          <w:szCs w:val="32"/>
        </w:rPr>
        <w:t>（十）创新社会治理</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共建食品安全</w:t>
      </w:r>
      <w:bookmarkEnd w:id="305"/>
      <w:bookmarkEnd w:id="306"/>
      <w:bookmarkEnd w:id="307"/>
      <w:bookmarkEnd w:id="308"/>
      <w:bookmarkEnd w:id="309"/>
      <w:bookmarkEnd w:id="310"/>
      <w:bookmarkEnd w:id="311"/>
      <w:bookmarkEnd w:id="312"/>
      <w:bookmarkEnd w:id="313"/>
      <w:bookmarkEnd w:id="314"/>
      <w:bookmarkEnd w:id="315"/>
      <w:bookmarkEnd w:id="316"/>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进一步完善食品安全社会治理体系，打造“食品行业自我约束、监管部门履职到位、消费者自觉监督”等多维度的食品安全社会治理体系，建设人人有责、人人尽责、人人享有的食品安全社会治理共同体。发挥食品行业协会、群团组织和社会组织在社会治理中的作用，畅通和规范食品生产经营者、社会工作者、志愿者等参与社会治理的途径，推动食品安全社会治理中心向基层下移，进一步加强基层食品安全治理队伍建设，构建网格化管理、精细化服务、信息化支撑、开放共享的基层治理服务平台。</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pStyle w:val="15"/>
              <w:spacing w:line="560" w:lineRule="exact"/>
              <w:ind w:left="0" w:leftChars="0" w:firstLine="0" w:firstLineChars="0"/>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专栏9 村级食品安全（农产品质量安全）信息员</w:t>
            </w:r>
            <w:r>
              <w:rPr>
                <w:rFonts w:hint="eastAsia" w:ascii="黑体" w:hAnsi="黑体" w:eastAsia="黑体" w:cs="黑体"/>
                <w:color w:val="auto"/>
                <w:sz w:val="32"/>
                <w:szCs w:val="32"/>
                <w:lang w:val="en-US" w:eastAsia="zh-CN"/>
              </w:rPr>
              <w:t>网络</w:t>
            </w:r>
          </w:p>
          <w:p>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lang w:val="en-US" w:eastAsia="zh-CN"/>
              </w:rPr>
              <w:t>与社会综治网络对接</w:t>
            </w:r>
            <w:r>
              <w:rPr>
                <w:rFonts w:hint="eastAsia" w:ascii="黑体" w:hAnsi="黑体" w:eastAsia="黑体" w:cs="黑体"/>
                <w:color w:val="auto"/>
                <w:sz w:val="32"/>
                <w:szCs w:val="32"/>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pPr>
              <w:spacing w:line="560" w:lineRule="exact"/>
              <w:ind w:firstLine="640" w:firstLineChars="200"/>
              <w:rPr>
                <w:rFonts w:eastAsia="仿宋_GB2312"/>
                <w:color w:val="auto"/>
                <w:sz w:val="32"/>
                <w:szCs w:val="32"/>
              </w:rPr>
            </w:pPr>
            <w:r>
              <w:rPr>
                <w:rFonts w:hint="eastAsia" w:eastAsia="仿宋_GB2312" w:cs="仿宋"/>
                <w:color w:val="auto"/>
                <w:sz w:val="32"/>
                <w:szCs w:val="32"/>
                <w:lang w:val="en-US" w:eastAsia="zh-CN"/>
              </w:rPr>
              <w:t>完善网格化管理，</w:t>
            </w:r>
            <w:r>
              <w:rPr>
                <w:rFonts w:hint="eastAsia" w:eastAsia="仿宋_GB2312" w:cs="仿宋"/>
                <w:color w:val="auto"/>
                <w:sz w:val="32"/>
                <w:szCs w:val="32"/>
              </w:rPr>
              <w:t>我市各乡镇每个自然村、社区居委会</w:t>
            </w:r>
            <w:r>
              <w:rPr>
                <w:rFonts w:hint="eastAsia" w:eastAsia="仿宋_GB2312" w:cs="仿宋"/>
                <w:color w:val="auto"/>
                <w:sz w:val="32"/>
                <w:szCs w:val="32"/>
                <w:lang w:val="en-US" w:eastAsia="zh-CN"/>
              </w:rPr>
              <w:t>的</w:t>
            </w:r>
            <w:r>
              <w:rPr>
                <w:rFonts w:hint="eastAsia" w:eastAsia="仿宋_GB2312" w:cs="仿宋"/>
                <w:color w:val="auto"/>
                <w:sz w:val="32"/>
                <w:szCs w:val="32"/>
              </w:rPr>
              <w:t>食品安全（农产品质量安全）信息员</w:t>
            </w:r>
            <w:r>
              <w:rPr>
                <w:rFonts w:hint="eastAsia" w:eastAsia="仿宋_GB2312" w:cs="仿宋"/>
                <w:color w:val="auto"/>
                <w:sz w:val="32"/>
                <w:szCs w:val="32"/>
                <w:lang w:val="en-US" w:eastAsia="zh-CN"/>
              </w:rPr>
              <w:t>与社会综治网络实现对接</w:t>
            </w:r>
            <w:r>
              <w:rPr>
                <w:rFonts w:hint="eastAsia" w:eastAsia="仿宋_GB2312" w:cs="仿宋"/>
                <w:color w:val="auto"/>
                <w:sz w:val="32"/>
                <w:szCs w:val="32"/>
              </w:rPr>
              <w:t>。</w:t>
            </w:r>
          </w:p>
        </w:tc>
      </w:tr>
    </w:tbl>
    <w:p>
      <w:pPr>
        <w:spacing w:line="560" w:lineRule="exact"/>
        <w:ind w:firstLine="643" w:firstLineChars="200"/>
        <w:jc w:val="left"/>
        <w:outlineLvl w:val="1"/>
        <w:rPr>
          <w:rFonts w:ascii="楷体" w:hAnsi="楷体" w:eastAsia="楷体" w:cs="楷体"/>
          <w:b/>
          <w:bCs/>
          <w:color w:val="auto"/>
          <w:sz w:val="32"/>
          <w:szCs w:val="32"/>
        </w:rPr>
      </w:pPr>
      <w:bookmarkStart w:id="317" w:name="_Toc16666"/>
      <w:bookmarkStart w:id="318" w:name="_Toc61273533"/>
      <w:bookmarkStart w:id="319" w:name="_Toc7782"/>
      <w:bookmarkStart w:id="320" w:name="_Toc21703"/>
      <w:bookmarkStart w:id="321" w:name="_Toc2782"/>
      <w:bookmarkStart w:id="322" w:name="_Toc17436"/>
      <w:bookmarkStart w:id="323" w:name="_Toc17324"/>
      <w:bookmarkStart w:id="324" w:name="_Toc17010"/>
      <w:bookmarkStart w:id="325" w:name="_Toc6619"/>
      <w:bookmarkStart w:id="326" w:name="_Toc27955"/>
      <w:bookmarkStart w:id="327" w:name="_Toc10980"/>
      <w:bookmarkStart w:id="328" w:name="_Toc6294"/>
      <w:r>
        <w:rPr>
          <w:rFonts w:hint="eastAsia" w:ascii="楷体" w:hAnsi="楷体" w:eastAsia="楷体" w:cs="楷体"/>
          <w:b/>
          <w:bCs/>
          <w:color w:val="auto"/>
          <w:sz w:val="32"/>
          <w:szCs w:val="32"/>
        </w:rPr>
        <w:t>（十一）反对食品浪费</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维护粮食安全</w:t>
      </w:r>
      <w:bookmarkEnd w:id="317"/>
      <w:bookmarkEnd w:id="318"/>
      <w:bookmarkEnd w:id="319"/>
      <w:bookmarkEnd w:id="320"/>
      <w:bookmarkEnd w:id="321"/>
      <w:bookmarkEnd w:id="322"/>
      <w:bookmarkEnd w:id="323"/>
      <w:bookmarkEnd w:id="324"/>
      <w:bookmarkEnd w:id="325"/>
      <w:bookmarkEnd w:id="326"/>
      <w:bookmarkEnd w:id="327"/>
      <w:bookmarkEnd w:id="328"/>
    </w:p>
    <w:p>
      <w:pPr>
        <w:widowControl/>
        <w:pBdr>
          <w:top w:val="none" w:color="auto" w:sz="0" w:space="0"/>
          <w:left w:val="none" w:color="auto" w:sz="0" w:space="0"/>
          <w:bottom w:val="none" w:color="auto" w:sz="0" w:space="0"/>
          <w:right w:val="none" w:color="auto" w:sz="0" w:space="0"/>
        </w:pBdr>
        <w:shd w:val="clear" w:fill="auto"/>
        <w:spacing w:before="0" w:after="0"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食品</w:t>
      </w:r>
      <w:r>
        <w:rPr>
          <w:rFonts w:hint="eastAsia" w:ascii="仿宋" w:hAnsi="仿宋" w:eastAsia="仿宋" w:cs="仿宋"/>
          <w:sz w:val="32"/>
          <w:szCs w:val="32"/>
        </w:rPr>
        <w:t>浪费事关我国粮食安全。</w:t>
      </w:r>
      <w:r>
        <w:rPr>
          <w:rFonts w:hint="eastAsia" w:ascii="仿宋" w:hAnsi="仿宋" w:eastAsia="仿宋" w:cs="仿宋"/>
          <w:sz w:val="32"/>
          <w:szCs w:val="32"/>
          <w:lang w:val="en-US" w:eastAsia="zh-CN"/>
        </w:rPr>
        <w:t>要</w:t>
      </w:r>
      <w:r>
        <w:rPr>
          <w:rFonts w:hint="eastAsia" w:ascii="仿宋" w:hAnsi="仿宋" w:eastAsia="仿宋" w:cs="仿宋"/>
          <w:sz w:val="32"/>
          <w:szCs w:val="32"/>
        </w:rPr>
        <w:t>持续深化厉行节约、反对浪费</w:t>
      </w:r>
      <w:r>
        <w:rPr>
          <w:rFonts w:hint="eastAsia" w:ascii="仿宋" w:hAnsi="仿宋" w:eastAsia="仿宋" w:cs="仿宋"/>
          <w:sz w:val="32"/>
          <w:szCs w:val="32"/>
          <w:lang w:eastAsia="zh-CN"/>
        </w:rPr>
        <w:t>，</w:t>
      </w:r>
      <w:r>
        <w:rPr>
          <w:rFonts w:hint="eastAsia" w:ascii="仿宋" w:hAnsi="仿宋" w:eastAsia="仿宋" w:cs="仿宋"/>
          <w:sz w:val="32"/>
          <w:szCs w:val="32"/>
        </w:rPr>
        <w:t>切实培养节约习惯，在全社会营造浪费可耻、节约为荣的氛围，站在维护国家粮食安全、弘扬社会风尚的高度，</w:t>
      </w:r>
      <w:r>
        <w:rPr>
          <w:rFonts w:hint="eastAsia" w:ascii="仿宋" w:hAnsi="仿宋" w:eastAsia="仿宋" w:cs="仿宋"/>
          <w:sz w:val="32"/>
          <w:szCs w:val="32"/>
          <w:lang w:val="en-US" w:eastAsia="zh-CN"/>
        </w:rPr>
        <w:t>推进反对食品浪费各项工作</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十四五</w:t>
      </w:r>
      <w:r>
        <w:rPr>
          <w:rFonts w:hint="eastAsia" w:ascii="仿宋" w:hAnsi="仿宋" w:eastAsia="仿宋" w:cs="仿宋"/>
          <w:sz w:val="32"/>
          <w:szCs w:val="32"/>
          <w:lang w:eastAsia="zh-CN"/>
        </w:rPr>
        <w:t>”</w:t>
      </w:r>
      <w:r>
        <w:rPr>
          <w:rFonts w:hint="eastAsia" w:ascii="仿宋" w:hAnsi="仿宋" w:eastAsia="仿宋" w:cs="仿宋"/>
          <w:sz w:val="32"/>
          <w:szCs w:val="32"/>
        </w:rPr>
        <w:t>期间，</w:t>
      </w:r>
      <w:r>
        <w:rPr>
          <w:rFonts w:hint="eastAsia" w:ascii="仿宋" w:hAnsi="仿宋" w:eastAsia="仿宋" w:cs="仿宋"/>
          <w:sz w:val="32"/>
          <w:szCs w:val="32"/>
          <w:lang w:val="en-US" w:eastAsia="zh-CN"/>
        </w:rPr>
        <w:t>各级人民政府应当加强对反食品浪费工作的领导，确定反食品浪费目标任务，建立健全反食品浪费工作机制，组织对食品浪费情况进行监测、调查、分析和评估，加强监督管理，推进反食品浪费工作。各县（市、区）人民政府应当每年向社会公布反食品浪费情况，提出加强反食品浪费措施，持续推动全社会反食品浪费。各有关部门依照法律规定及政府规定的有关职责，采取措施开展反食品浪费工作。</w:t>
      </w:r>
    </w:p>
    <w:p>
      <w:pPr>
        <w:spacing w:line="560" w:lineRule="exact"/>
        <w:ind w:firstLine="643" w:firstLineChars="200"/>
        <w:jc w:val="left"/>
        <w:outlineLvl w:val="1"/>
        <w:rPr>
          <w:rFonts w:ascii="楷体" w:hAnsi="楷体" w:eastAsia="楷体" w:cs="楷体"/>
          <w:b/>
          <w:bCs/>
          <w:color w:val="auto"/>
          <w:sz w:val="32"/>
          <w:szCs w:val="32"/>
        </w:rPr>
      </w:pPr>
      <w:bookmarkStart w:id="329" w:name="_Toc28379"/>
      <w:bookmarkStart w:id="330" w:name="_Toc14956"/>
      <w:bookmarkStart w:id="331" w:name="_Toc16823"/>
      <w:bookmarkStart w:id="332" w:name="_Toc9438"/>
      <w:bookmarkStart w:id="333" w:name="_Toc25815"/>
      <w:bookmarkStart w:id="334" w:name="_Toc13380"/>
      <w:bookmarkStart w:id="335" w:name="_Toc61273534"/>
      <w:bookmarkStart w:id="336" w:name="_Toc29689"/>
      <w:bookmarkStart w:id="337" w:name="_Toc28462"/>
      <w:bookmarkStart w:id="338" w:name="_Toc8812"/>
      <w:bookmarkStart w:id="339" w:name="_Toc27622"/>
      <w:bookmarkStart w:id="340" w:name="_Toc16832"/>
      <w:r>
        <w:rPr>
          <w:rFonts w:hint="eastAsia" w:ascii="楷体" w:hAnsi="楷体" w:eastAsia="楷体" w:cs="楷体"/>
          <w:b/>
          <w:bCs/>
          <w:color w:val="auto"/>
          <w:sz w:val="32"/>
          <w:szCs w:val="32"/>
        </w:rPr>
        <w:t>（十二）建设放心工程</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开展攻坚行动</w:t>
      </w:r>
      <w:bookmarkEnd w:id="329"/>
      <w:bookmarkEnd w:id="330"/>
      <w:bookmarkEnd w:id="331"/>
      <w:bookmarkEnd w:id="332"/>
      <w:bookmarkEnd w:id="333"/>
      <w:bookmarkEnd w:id="334"/>
      <w:bookmarkEnd w:id="335"/>
      <w:bookmarkEnd w:id="336"/>
      <w:bookmarkEnd w:id="337"/>
      <w:bookmarkEnd w:id="338"/>
      <w:bookmarkEnd w:id="339"/>
      <w:bookmarkEnd w:id="340"/>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围绕人民群众普遍关心的突出问题，开展食品安全放心工程建设攻坚行动，用</w:t>
      </w:r>
      <w:r>
        <w:rPr>
          <w:rFonts w:eastAsia="仿宋_GB2312" w:cs="仿宋"/>
          <w:color w:val="auto"/>
          <w:sz w:val="32"/>
          <w:szCs w:val="32"/>
        </w:rPr>
        <w:t>5</w:t>
      </w:r>
      <w:r>
        <w:rPr>
          <w:rFonts w:hint="eastAsia" w:eastAsia="仿宋_GB2312" w:cs="仿宋"/>
          <w:color w:val="auto"/>
          <w:sz w:val="32"/>
          <w:szCs w:val="32"/>
        </w:rPr>
        <w:t>年左右时间，以点带面治理“餐桌污染”，力争取得明显成效。</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1.</w:t>
      </w:r>
      <w:r>
        <w:rPr>
          <w:rFonts w:hint="eastAsia" w:ascii="仿宋" w:hAnsi="仿宋" w:eastAsia="仿宋" w:cs="仿宋"/>
          <w:b/>
          <w:bCs/>
          <w:color w:val="auto"/>
          <w:sz w:val="32"/>
          <w:szCs w:val="32"/>
        </w:rPr>
        <w:t>实施农药兽药使用减量和产地环境净化行动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实施化肥农药减量增效行动、水产养殖用药减量行动、兽药抗菌药治理行动，遏制农药兽药残留超标问题</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严禁使用已淘汰的高毒高风险农药，大力推广生物农药和安全科学用药技术</w:t>
      </w:r>
      <w:r>
        <w:rPr>
          <w:rFonts w:hint="eastAsia" w:eastAsia="仿宋_GB2312" w:cs="仿宋"/>
          <w:color w:val="auto"/>
          <w:sz w:val="32"/>
          <w:szCs w:val="32"/>
        </w:rPr>
        <w:t>。加强耕地土壤环境类别划分和重金属污染区耕地风险管控与修复，重度污染区域要加快退出食用农产品种植。</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2.</w:t>
      </w:r>
      <w:r>
        <w:rPr>
          <w:rFonts w:hint="eastAsia" w:ascii="仿宋" w:hAnsi="仿宋" w:eastAsia="仿宋" w:cs="仿宋"/>
          <w:b/>
          <w:bCs/>
          <w:color w:val="auto"/>
          <w:sz w:val="32"/>
          <w:szCs w:val="32"/>
        </w:rPr>
        <w:t>开展校园食品安全“护校护苗”行动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严格执行学校食品安全与营养健康管理制度，落实学校校长（园长）为食品安全第一责任人的负责制度，确保校园食品安全，防范发生群体性食源性疾病事件。在学校食堂“明厨亮灶”全覆盖的基础上，推行“互联网</w:t>
      </w:r>
      <w:r>
        <w:rPr>
          <w:rFonts w:eastAsia="仿宋_GB2312" w:cs="仿宋"/>
          <w:color w:val="auto"/>
          <w:sz w:val="32"/>
          <w:szCs w:val="32"/>
        </w:rPr>
        <w:t>+</w:t>
      </w:r>
      <w:r>
        <w:rPr>
          <w:rFonts w:hint="eastAsia" w:eastAsia="仿宋_GB2312" w:cs="仿宋"/>
          <w:color w:val="auto"/>
          <w:sz w:val="32"/>
          <w:szCs w:val="32"/>
        </w:rPr>
        <w:t>明厨亮灶”，实行大宗食品公开招标、集中定点采购，建立学校相关负责人陪餐制度，鼓励家长参与监督。对学校食堂、学生集体用餐配送单位、校园周边餐饮门店及食品销售单位实行全覆盖监督检查。落实好农村义务教育学生营养改善计划，保证学生营养餐质量。</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3.</w:t>
      </w:r>
      <w:r>
        <w:rPr>
          <w:rFonts w:hint="eastAsia" w:ascii="仿宋" w:hAnsi="仿宋" w:eastAsia="仿宋" w:cs="仿宋"/>
          <w:b/>
          <w:bCs/>
          <w:color w:val="auto"/>
          <w:sz w:val="32"/>
          <w:szCs w:val="32"/>
        </w:rPr>
        <w:t>开展城乡食品“同标同质”行动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以农村地区、城乡结合部为主战场，全面清理食品生产经营主体资格，严厉打击制售“三无”食品、假冒食品、劣质食品、过期食品等违法违规行为，坚决取缔“黑工厂”“黑窝点”和“黑作坊”，实现风险隐患排查整治常态化。力争在</w:t>
      </w:r>
      <w:r>
        <w:rPr>
          <w:rFonts w:eastAsia="仿宋_GB2312" w:cs="仿宋"/>
          <w:color w:val="auto"/>
          <w:sz w:val="32"/>
          <w:szCs w:val="32"/>
        </w:rPr>
        <w:t>5</w:t>
      </w:r>
      <w:r>
        <w:rPr>
          <w:rFonts w:hint="eastAsia" w:eastAsia="仿宋_GB2312" w:cs="仿宋"/>
          <w:color w:val="auto"/>
          <w:sz w:val="32"/>
          <w:szCs w:val="32"/>
        </w:rPr>
        <w:t>年内建立规范的农村食品流通供应体系，净化农村消费市场，提高农村食品安全保障水平。</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4.</w:t>
      </w:r>
      <w:r>
        <w:rPr>
          <w:rFonts w:hint="eastAsia" w:ascii="仿宋" w:hAnsi="仿宋" w:eastAsia="仿宋" w:cs="仿宋"/>
          <w:b/>
          <w:bCs/>
          <w:color w:val="auto"/>
          <w:sz w:val="32"/>
          <w:szCs w:val="32"/>
        </w:rPr>
        <w:t>实施食品小作坊转型升级和质量提升</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强化监管服务，加强指导帮扶，促进提升小作坊食品安全管理水平。鼓励小作坊</w:t>
      </w:r>
      <w:r>
        <w:rPr>
          <w:rFonts w:hint="eastAsia" w:eastAsia="仿宋_GB2312" w:cs="仿宋"/>
          <w:color w:val="auto"/>
          <w:sz w:val="32"/>
          <w:szCs w:val="32"/>
          <w:lang w:val="en-US" w:eastAsia="zh-CN"/>
        </w:rPr>
        <w:t>优化流程布局、</w:t>
      </w:r>
      <w:r>
        <w:rPr>
          <w:rFonts w:hint="eastAsia" w:eastAsia="仿宋_GB2312" w:cs="仿宋"/>
          <w:color w:val="auto"/>
          <w:sz w:val="32"/>
          <w:szCs w:val="32"/>
        </w:rPr>
        <w:t>改进</w:t>
      </w:r>
      <w:r>
        <w:rPr>
          <w:rFonts w:hint="eastAsia" w:eastAsia="仿宋_GB2312" w:cs="仿宋"/>
          <w:color w:val="auto"/>
          <w:sz w:val="32"/>
          <w:szCs w:val="32"/>
          <w:lang w:val="en-US" w:eastAsia="zh-CN"/>
        </w:rPr>
        <w:t>生产</w:t>
      </w:r>
      <w:r>
        <w:rPr>
          <w:rFonts w:hint="eastAsia" w:eastAsia="仿宋_GB2312" w:cs="仿宋"/>
          <w:color w:val="auto"/>
          <w:sz w:val="32"/>
          <w:szCs w:val="32"/>
        </w:rPr>
        <w:t>工艺</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添置设施设备</w:t>
      </w:r>
      <w:r>
        <w:rPr>
          <w:rFonts w:hint="eastAsia" w:eastAsia="仿宋_GB2312" w:cs="仿宋"/>
          <w:color w:val="auto"/>
          <w:sz w:val="32"/>
          <w:szCs w:val="32"/>
        </w:rPr>
        <w:t>，</w:t>
      </w:r>
      <w:r>
        <w:rPr>
          <w:rFonts w:hint="eastAsia" w:eastAsia="仿宋_GB2312" w:cs="仿宋"/>
          <w:color w:val="auto"/>
          <w:sz w:val="32"/>
          <w:szCs w:val="32"/>
          <w:lang w:val="en-US" w:eastAsia="zh-CN"/>
        </w:rPr>
        <w:t>实现</w:t>
      </w:r>
      <w:r>
        <w:rPr>
          <w:rFonts w:hint="eastAsia" w:eastAsia="仿宋_GB2312" w:cs="仿宋"/>
          <w:color w:val="auto"/>
          <w:sz w:val="32"/>
          <w:szCs w:val="32"/>
        </w:rPr>
        <w:t>生产加工规范化。推动小作坊生产加工集聚区建设，</w:t>
      </w:r>
      <w:r>
        <w:rPr>
          <w:rFonts w:hint="eastAsia" w:eastAsia="仿宋_GB2312" w:cs="仿宋"/>
          <w:color w:val="auto"/>
          <w:sz w:val="32"/>
          <w:szCs w:val="32"/>
          <w:lang w:val="en-US" w:eastAsia="zh-CN"/>
        </w:rPr>
        <w:t>探索切合实际的</w:t>
      </w:r>
      <w:r>
        <w:rPr>
          <w:rFonts w:hint="eastAsia" w:eastAsia="仿宋_GB2312" w:cs="仿宋"/>
          <w:color w:val="auto"/>
          <w:sz w:val="32"/>
          <w:szCs w:val="32"/>
        </w:rPr>
        <w:t>原料采购、食品检验、仓储物流、电子商务等全链条配套服务，推进生产加工集约化。引导小作坊提升食品品质，以传统工艺为依托，采用优质食品原料，推进小作坊食品优质化。把小作坊升级改造、集约发展、品质提升、品牌创建等与推进乡村振兴结合起来，推动小作坊由“小散低”向“精特美”转型升级</w:t>
      </w:r>
      <w:r>
        <w:rPr>
          <w:rFonts w:hint="eastAsia" w:eastAsia="仿宋_GB2312" w:cs="仿宋"/>
          <w:color w:val="auto"/>
          <w:sz w:val="32"/>
          <w:szCs w:val="32"/>
          <w:lang w:eastAsia="zh-CN"/>
        </w:rPr>
        <w:t>。</w:t>
      </w:r>
      <w:r>
        <w:rPr>
          <w:rFonts w:hint="eastAsia" w:eastAsia="仿宋_GB2312" w:cs="仿宋"/>
          <w:color w:val="auto"/>
          <w:sz w:val="32"/>
          <w:szCs w:val="32"/>
        </w:rPr>
        <w:t>打造一批示范点、建成一批集中加工区，到</w:t>
      </w:r>
      <w:r>
        <w:rPr>
          <w:rFonts w:eastAsia="仿宋_GB2312" w:cs="仿宋"/>
          <w:color w:val="auto"/>
          <w:sz w:val="32"/>
          <w:szCs w:val="32"/>
        </w:rPr>
        <w:t>2025</w:t>
      </w:r>
      <w:r>
        <w:rPr>
          <w:rFonts w:hint="eastAsia" w:eastAsia="仿宋_GB2312" w:cs="仿宋"/>
          <w:color w:val="auto"/>
          <w:sz w:val="32"/>
          <w:szCs w:val="32"/>
        </w:rPr>
        <w:t>年，示范点数量达到小作坊总数的</w:t>
      </w:r>
      <w:r>
        <w:rPr>
          <w:rFonts w:hint="eastAsia" w:eastAsia="仿宋_GB2312" w:cs="仿宋"/>
          <w:color w:val="auto"/>
          <w:sz w:val="32"/>
          <w:szCs w:val="32"/>
          <w:lang w:val="en-US" w:eastAsia="zh-CN"/>
        </w:rPr>
        <w:t>15</w:t>
      </w:r>
      <w:r>
        <w:rPr>
          <w:rFonts w:eastAsia="仿宋_GB2312" w:cs="仿宋"/>
          <w:color w:val="auto"/>
          <w:sz w:val="32"/>
          <w:szCs w:val="32"/>
        </w:rPr>
        <w:t>%</w:t>
      </w:r>
      <w:r>
        <w:rPr>
          <w:rFonts w:hint="eastAsia" w:eastAsia="仿宋_GB2312" w:cs="仿宋"/>
          <w:color w:val="auto"/>
          <w:sz w:val="32"/>
          <w:szCs w:val="32"/>
        </w:rPr>
        <w:t>，建成集中加工区覆盖</w:t>
      </w:r>
      <w:r>
        <w:rPr>
          <w:rFonts w:eastAsia="仿宋_GB2312" w:cs="仿宋"/>
          <w:color w:val="auto"/>
          <w:sz w:val="32"/>
          <w:szCs w:val="32"/>
        </w:rPr>
        <w:t>30%</w:t>
      </w:r>
      <w:r>
        <w:rPr>
          <w:rFonts w:hint="eastAsia" w:eastAsia="仿宋_GB2312" w:cs="仿宋"/>
          <w:color w:val="auto"/>
          <w:sz w:val="32"/>
          <w:szCs w:val="32"/>
        </w:rPr>
        <w:t>以上的县（市、区），实现</w:t>
      </w:r>
      <w:r>
        <w:rPr>
          <w:rFonts w:hint="eastAsia" w:eastAsia="仿宋_GB2312" w:cs="仿宋"/>
          <w:color w:val="auto"/>
          <w:sz w:val="32"/>
          <w:szCs w:val="32"/>
          <w:lang w:val="en-US" w:eastAsia="zh-CN"/>
        </w:rPr>
        <w:t>小作坊</w:t>
      </w:r>
      <w:r>
        <w:rPr>
          <w:rFonts w:hint="eastAsia" w:eastAsia="仿宋_GB2312" w:cs="仿宋"/>
          <w:color w:val="auto"/>
          <w:sz w:val="32"/>
          <w:szCs w:val="32"/>
        </w:rPr>
        <w:t>整体规范生产和质量水平的明显提升</w:t>
      </w:r>
      <w:r>
        <w:rPr>
          <w:rFonts w:hint="eastAsia" w:eastAsia="仿宋_GB2312" w:cs="仿宋"/>
          <w:color w:val="auto"/>
          <w:sz w:val="32"/>
          <w:szCs w:val="32"/>
          <w:lang w:eastAsia="zh-CN"/>
        </w:rPr>
        <w:t>，</w:t>
      </w:r>
      <w:r>
        <w:rPr>
          <w:rFonts w:hint="eastAsia" w:eastAsia="仿宋_GB2312" w:cs="仿宋"/>
          <w:color w:val="auto"/>
          <w:sz w:val="32"/>
          <w:szCs w:val="32"/>
        </w:rPr>
        <w:t>引导具备条件的小作坊</w:t>
      </w:r>
      <w:r>
        <w:rPr>
          <w:rFonts w:hint="eastAsia" w:eastAsia="仿宋_GB2312" w:cs="仿宋"/>
          <w:color w:val="auto"/>
          <w:sz w:val="32"/>
          <w:szCs w:val="32"/>
          <w:lang w:val="en-US" w:eastAsia="zh-CN"/>
        </w:rPr>
        <w:t>发展成为食品生产企业</w:t>
      </w:r>
      <w:r>
        <w:rPr>
          <w:rFonts w:hint="eastAsia" w:eastAsia="仿宋_GB2312"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4.</w:t>
      </w:r>
      <w:r>
        <w:rPr>
          <w:rFonts w:hint="eastAsia" w:ascii="仿宋" w:hAnsi="仿宋" w:eastAsia="仿宋" w:cs="仿宋"/>
          <w:b/>
          <w:bCs/>
          <w:color w:val="auto"/>
          <w:sz w:val="32"/>
          <w:szCs w:val="32"/>
        </w:rPr>
        <w:t>实施餐饮质量安全提升行动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推广“明厨亮灶”、餐饮安全风险分级管理，支持餐饮服务企业发展连锁经营和中央厨房，提升餐饮行业标准化水平，规范快餐、团餐等大众餐饮服务。鼓励餐饮外卖对配送食品进行封签，使用环保可降解的容器包装。大力推进餐厨废弃物资源化利用和无害化处理，防范“地沟油”流入餐桌。</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5.</w:t>
      </w:r>
      <w:r>
        <w:rPr>
          <w:rFonts w:hint="eastAsia" w:ascii="仿宋" w:hAnsi="仿宋" w:eastAsia="仿宋" w:cs="仿宋"/>
          <w:b/>
          <w:bCs/>
          <w:color w:val="auto"/>
          <w:sz w:val="32"/>
          <w:szCs w:val="32"/>
        </w:rPr>
        <w:t>实施保健食品行业专项清理整治行动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全面开展严厉打击保健食品</w:t>
      </w:r>
      <w:r>
        <w:rPr>
          <w:rFonts w:hint="eastAsia" w:eastAsia="仿宋_GB2312" w:cs="仿宋"/>
          <w:color w:val="auto"/>
          <w:sz w:val="32"/>
          <w:szCs w:val="32"/>
          <w:lang w:val="en-US" w:eastAsia="zh-CN"/>
        </w:rPr>
        <w:t>生产经营违法违规行为、保健食品</w:t>
      </w:r>
      <w:r>
        <w:rPr>
          <w:rFonts w:hint="eastAsia" w:eastAsia="仿宋_GB2312" w:cs="仿宋"/>
          <w:color w:val="auto"/>
          <w:sz w:val="32"/>
          <w:szCs w:val="32"/>
        </w:rPr>
        <w:t>欺诈和虚假宣传等违法犯罪行为。加大联合执法力度，大力整治保健食品市场经营秩序，严厉查处各种非法销售保健食品行为，打击传销。</w:t>
      </w:r>
      <w:r>
        <w:rPr>
          <w:rFonts w:hint="eastAsia" w:eastAsia="仿宋_GB2312" w:cs="仿宋"/>
          <w:color w:val="auto"/>
          <w:sz w:val="32"/>
          <w:szCs w:val="32"/>
          <w:lang w:val="en-US" w:eastAsia="zh-CN"/>
        </w:rPr>
        <w:t>加强</w:t>
      </w:r>
      <w:r>
        <w:rPr>
          <w:rFonts w:hint="eastAsia" w:eastAsia="仿宋_GB2312" w:cs="仿宋"/>
          <w:color w:val="auto"/>
          <w:sz w:val="32"/>
          <w:szCs w:val="32"/>
        </w:rPr>
        <w:t>标签标识管理。做好消费者维权服务工作。</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6.</w:t>
      </w:r>
      <w:r>
        <w:rPr>
          <w:rFonts w:hint="eastAsia" w:ascii="仿宋" w:hAnsi="仿宋" w:eastAsia="仿宋" w:cs="仿宋"/>
          <w:b/>
          <w:bCs/>
          <w:color w:val="auto"/>
          <w:sz w:val="32"/>
          <w:szCs w:val="32"/>
        </w:rPr>
        <w:t>实施“优质粮油”行动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完善粮食质量安全检验监测体系，开展“优质粮油”行动，打造一批我市绿色有机、优质安全粮油品牌，提高绿色优质安全粮油产品供给水平。</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7.</w:t>
      </w:r>
      <w:r>
        <w:rPr>
          <w:rFonts w:hint="eastAsia" w:ascii="仿宋" w:hAnsi="仿宋" w:eastAsia="仿宋" w:cs="仿宋"/>
          <w:b/>
          <w:bCs/>
          <w:color w:val="auto"/>
          <w:sz w:val="32"/>
          <w:szCs w:val="32"/>
        </w:rPr>
        <w:t>实施品牌提升行动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持续推动绿色、有机</w:t>
      </w:r>
      <w:r>
        <w:rPr>
          <w:rFonts w:hint="eastAsia" w:eastAsia="仿宋_GB2312" w:cs="仿宋"/>
          <w:color w:val="auto"/>
          <w:sz w:val="32"/>
          <w:szCs w:val="32"/>
          <w:lang w:eastAsia="zh-CN"/>
        </w:rPr>
        <w:t>、</w:t>
      </w:r>
      <w:r>
        <w:rPr>
          <w:rFonts w:hint="eastAsia" w:eastAsia="仿宋_GB2312" w:cs="仿宋"/>
          <w:color w:val="auto"/>
          <w:sz w:val="32"/>
          <w:szCs w:val="32"/>
        </w:rPr>
        <w:t>地理标志食品（食用农产品）发展，打造有影响力的品牌，推进“赣南脐橙”“赣南</w:t>
      </w:r>
      <w:r>
        <w:rPr>
          <w:rFonts w:hint="eastAsia" w:eastAsia="仿宋_GB2312" w:cs="仿宋"/>
          <w:color w:val="auto"/>
          <w:sz w:val="32"/>
          <w:szCs w:val="32"/>
          <w:lang w:val="en-US" w:eastAsia="zh-CN"/>
        </w:rPr>
        <w:t>茶油</w:t>
      </w:r>
      <w:r>
        <w:rPr>
          <w:rFonts w:hint="eastAsia" w:eastAsia="仿宋_GB2312" w:cs="仿宋"/>
          <w:color w:val="auto"/>
          <w:sz w:val="32"/>
          <w:szCs w:val="32"/>
        </w:rPr>
        <w:t>”“赣南蔬菜”等品牌建设。</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8.</w:t>
      </w:r>
      <w:r>
        <w:rPr>
          <w:rFonts w:hint="eastAsia" w:ascii="仿宋" w:hAnsi="仿宋" w:eastAsia="仿宋" w:cs="仿宋"/>
          <w:b/>
          <w:bCs/>
          <w:color w:val="auto"/>
          <w:sz w:val="32"/>
          <w:szCs w:val="32"/>
        </w:rPr>
        <w:t>开展进口食品“国门守护”行动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实施差别化监管，开展科学有效的进口食品监督抽检和风险监控，完善企业信用管理、风险预警、产品追溯和快速反应机制，落实跨境电商零售进口监管政策，严防输入型食品安全。</w:t>
      </w:r>
    </w:p>
    <w:p>
      <w:pPr>
        <w:spacing w:line="560" w:lineRule="exact"/>
        <w:ind w:firstLine="643" w:firstLineChars="200"/>
        <w:rPr>
          <w:rFonts w:hint="default" w:ascii="仿宋" w:hAnsi="仿宋" w:eastAsia="仿宋" w:cs="仿宋"/>
          <w:b/>
          <w:bCs/>
          <w:color w:val="auto"/>
          <w:sz w:val="32"/>
          <w:szCs w:val="32"/>
          <w:lang w:val="en-US" w:eastAsia="zh-CN"/>
        </w:rPr>
      </w:pPr>
      <w:r>
        <w:rPr>
          <w:rFonts w:ascii="仿宋" w:hAnsi="仿宋" w:eastAsia="仿宋" w:cs="仿宋"/>
          <w:b/>
          <w:bCs/>
          <w:color w:val="auto"/>
          <w:sz w:val="32"/>
          <w:szCs w:val="32"/>
        </w:rPr>
        <w:t>9.</w:t>
      </w:r>
      <w:r>
        <w:rPr>
          <w:rFonts w:hint="eastAsia" w:ascii="仿宋" w:hAnsi="仿宋" w:eastAsia="仿宋" w:cs="仿宋"/>
          <w:b/>
          <w:bCs/>
          <w:color w:val="auto"/>
          <w:sz w:val="32"/>
          <w:szCs w:val="32"/>
          <w:lang w:eastAsia="zh-CN"/>
        </w:rPr>
        <w:t>实施</w:t>
      </w:r>
      <w:r>
        <w:rPr>
          <w:rFonts w:hint="eastAsia" w:ascii="仿宋" w:hAnsi="仿宋" w:eastAsia="仿宋" w:cs="仿宋"/>
          <w:b/>
          <w:bCs/>
          <w:color w:val="auto"/>
          <w:sz w:val="32"/>
          <w:szCs w:val="32"/>
        </w:rPr>
        <w:t>冷链食品</w:t>
      </w:r>
      <w:r>
        <w:rPr>
          <w:rFonts w:hint="eastAsia" w:ascii="仿宋" w:hAnsi="仿宋" w:eastAsia="仿宋" w:cs="仿宋"/>
          <w:b/>
          <w:bCs/>
          <w:color w:val="auto"/>
          <w:sz w:val="32"/>
          <w:szCs w:val="32"/>
          <w:lang w:eastAsia="zh-CN"/>
        </w:rPr>
        <w:t>整治行动</w:t>
      </w:r>
    </w:p>
    <w:p>
      <w:pPr>
        <w:spacing w:line="560" w:lineRule="exact"/>
        <w:ind w:firstLine="640" w:firstLineChars="200"/>
        <w:rPr>
          <w:rFonts w:eastAsia="仿宋_GB2312" w:cs="仿宋"/>
          <w:color w:val="auto"/>
          <w:sz w:val="32"/>
          <w:szCs w:val="32"/>
        </w:rPr>
      </w:pPr>
      <w:r>
        <w:rPr>
          <w:rFonts w:hint="eastAsia" w:ascii="仿宋" w:hAnsi="仿宋" w:eastAsia="仿宋" w:cs="仿宋"/>
          <w:b w:val="0"/>
          <w:bCs w:val="0"/>
          <w:color w:val="auto"/>
          <w:sz w:val="32"/>
          <w:szCs w:val="32"/>
          <w:lang w:eastAsia="zh-CN"/>
        </w:rPr>
        <w:t>实施</w:t>
      </w:r>
      <w:r>
        <w:rPr>
          <w:rFonts w:hint="eastAsia" w:ascii="仿宋" w:hAnsi="仿宋" w:eastAsia="仿宋" w:cs="仿宋"/>
          <w:b w:val="0"/>
          <w:bCs w:val="0"/>
          <w:color w:val="auto"/>
          <w:sz w:val="32"/>
          <w:szCs w:val="32"/>
        </w:rPr>
        <w:t>冷链食品</w:t>
      </w:r>
      <w:r>
        <w:rPr>
          <w:rFonts w:hint="eastAsia" w:ascii="仿宋" w:hAnsi="仿宋" w:eastAsia="仿宋" w:cs="仿宋"/>
          <w:b w:val="0"/>
          <w:bCs w:val="0"/>
          <w:color w:val="auto"/>
          <w:sz w:val="32"/>
          <w:szCs w:val="32"/>
          <w:lang w:eastAsia="zh-CN"/>
        </w:rPr>
        <w:t>整治行动</w:t>
      </w:r>
      <w:r>
        <w:rPr>
          <w:rFonts w:hint="eastAsia" w:eastAsia="仿宋_GB2312" w:cs="仿宋"/>
          <w:color w:val="auto"/>
          <w:sz w:val="32"/>
          <w:szCs w:val="32"/>
          <w:lang w:val="en-US" w:eastAsia="zh-CN"/>
        </w:rPr>
        <w:t>。全市各县（市、区）、各有关部门合力推进</w:t>
      </w:r>
      <w:r>
        <w:rPr>
          <w:rFonts w:hint="eastAsia" w:ascii="仿宋" w:hAnsi="仿宋" w:eastAsia="仿宋" w:cs="仿宋"/>
          <w:b w:val="0"/>
          <w:bCs w:val="0"/>
          <w:color w:val="auto"/>
          <w:sz w:val="32"/>
          <w:szCs w:val="32"/>
        </w:rPr>
        <w:t>冷链食品</w:t>
      </w:r>
      <w:r>
        <w:rPr>
          <w:rFonts w:hint="eastAsia" w:ascii="仿宋" w:hAnsi="仿宋" w:eastAsia="仿宋" w:cs="仿宋"/>
          <w:b w:val="0"/>
          <w:bCs w:val="0"/>
          <w:color w:val="auto"/>
          <w:sz w:val="32"/>
          <w:szCs w:val="32"/>
          <w:lang w:eastAsia="zh-CN"/>
        </w:rPr>
        <w:t>整治行动</w:t>
      </w:r>
      <w:r>
        <w:rPr>
          <w:rFonts w:hint="eastAsia" w:eastAsia="仿宋_GB2312" w:cs="仿宋"/>
          <w:color w:val="auto"/>
          <w:sz w:val="32"/>
          <w:szCs w:val="32"/>
          <w:lang w:val="en-US" w:eastAsia="zh-CN"/>
        </w:rPr>
        <w:t>，促进常态化疫情防控和食品安全保障工作。全面排查冷链食品生产经营场所和冷链物流环节的风险防控和食品安全问题，重点检查冷库温控标准、索票索证、出库台账、检验检疫管理等落实情况，整体提升冷链食品安全水平。</w:t>
      </w:r>
    </w:p>
    <w:p>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10.</w:t>
      </w:r>
      <w:r>
        <w:rPr>
          <w:rFonts w:hint="eastAsia" w:ascii="仿宋" w:hAnsi="仿宋" w:eastAsia="仿宋" w:cs="仿宋"/>
          <w:b/>
          <w:bCs/>
          <w:color w:val="auto"/>
          <w:sz w:val="32"/>
          <w:szCs w:val="32"/>
        </w:rPr>
        <w:t>实施“双安双创”示范引领行动</w:t>
      </w:r>
    </w:p>
    <w:p>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继续实施国家食品安全示范城市和</w:t>
      </w:r>
      <w:r>
        <w:rPr>
          <w:rFonts w:hint="eastAsia" w:eastAsia="仿宋_GB2312" w:cs="仿宋"/>
          <w:color w:val="auto"/>
          <w:sz w:val="32"/>
          <w:szCs w:val="32"/>
          <w:lang w:val="en-US" w:eastAsia="zh-CN"/>
        </w:rPr>
        <w:t>国家农产品质量安全县</w:t>
      </w:r>
      <w:r>
        <w:rPr>
          <w:rFonts w:hint="eastAsia" w:eastAsia="仿宋_GB2312" w:cs="仿宋"/>
          <w:color w:val="auto"/>
          <w:sz w:val="32"/>
          <w:szCs w:val="32"/>
        </w:rPr>
        <w:t>创建行动，作为提升全市食品安全保障水平的总平台、总抓手，落实属地管理责任和生产经营者主体责任，开创食品安全监管工作新局面。</w:t>
      </w:r>
    </w:p>
    <w:p>
      <w:pPr>
        <w:spacing w:before="156" w:beforeLines="50" w:after="156" w:afterLines="50" w:line="560" w:lineRule="exact"/>
        <w:jc w:val="center"/>
        <w:outlineLvl w:val="0"/>
        <w:rPr>
          <w:rFonts w:hint="eastAsia" w:ascii="黑体" w:hAnsi="黑体" w:eastAsia="黑体" w:cs="黑体"/>
          <w:color w:val="auto"/>
          <w:sz w:val="32"/>
          <w:szCs w:val="32"/>
          <w:lang w:val="en-US" w:eastAsia="zh-CN"/>
        </w:rPr>
      </w:pPr>
      <w:bookmarkStart w:id="341" w:name="_Toc61273535"/>
      <w:bookmarkStart w:id="342" w:name="_Toc5165"/>
      <w:bookmarkStart w:id="343" w:name="_Toc23594"/>
      <w:bookmarkStart w:id="344" w:name="_Toc24352"/>
      <w:bookmarkStart w:id="345" w:name="_Toc27928"/>
      <w:bookmarkStart w:id="346" w:name="_Toc21188"/>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pPr>
        <w:spacing w:before="156" w:beforeLines="50" w:after="156" w:afterLines="50" w:line="560" w:lineRule="exact"/>
        <w:jc w:val="center"/>
        <w:outlineLvl w:val="0"/>
        <w:rPr>
          <w:rFonts w:ascii="黑体" w:hAnsi="黑体" w:eastAsia="黑体" w:cs="黑体"/>
          <w:color w:val="auto"/>
          <w:sz w:val="36"/>
          <w:szCs w:val="32"/>
        </w:rPr>
      </w:pPr>
      <w:bookmarkStart w:id="347" w:name="_Toc8830"/>
      <w:bookmarkStart w:id="348" w:name="_Toc2789"/>
      <w:bookmarkStart w:id="349" w:name="_Toc972"/>
      <w:bookmarkStart w:id="350" w:name="_Toc7879"/>
      <w:bookmarkStart w:id="351" w:name="_Toc5349"/>
      <w:bookmarkStart w:id="352" w:name="_Toc12081"/>
      <w:r>
        <w:rPr>
          <w:rFonts w:hint="eastAsia" w:ascii="黑体" w:hAnsi="黑体" w:eastAsia="黑体" w:cs="黑体"/>
          <w:color w:val="auto"/>
          <w:sz w:val="36"/>
          <w:szCs w:val="32"/>
          <w:lang w:val="en-US" w:eastAsia="zh-CN"/>
        </w:rPr>
        <w:t>六</w:t>
      </w:r>
      <w:r>
        <w:rPr>
          <w:rFonts w:hint="eastAsia" w:ascii="黑体" w:hAnsi="黑体" w:eastAsia="黑体" w:cs="黑体"/>
          <w:color w:val="auto"/>
          <w:sz w:val="36"/>
          <w:szCs w:val="32"/>
        </w:rPr>
        <w:t>、政策保障</w:t>
      </w:r>
      <w:bookmarkEnd w:id="341"/>
      <w:bookmarkEnd w:id="342"/>
      <w:bookmarkEnd w:id="343"/>
      <w:bookmarkEnd w:id="344"/>
      <w:bookmarkEnd w:id="345"/>
      <w:bookmarkEnd w:id="346"/>
      <w:bookmarkEnd w:id="347"/>
      <w:bookmarkEnd w:id="348"/>
      <w:bookmarkEnd w:id="349"/>
      <w:bookmarkEnd w:id="350"/>
      <w:bookmarkEnd w:id="351"/>
      <w:bookmarkEnd w:id="352"/>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（一）强化组织实施。</w:t>
      </w:r>
      <w:r>
        <w:rPr>
          <w:rFonts w:hint="eastAsia" w:eastAsia="仿宋_GB2312" w:cs="仿宋"/>
          <w:color w:val="auto"/>
          <w:sz w:val="32"/>
          <w:szCs w:val="32"/>
        </w:rPr>
        <w:t>各县（市</w:t>
      </w:r>
      <w:r>
        <w:rPr>
          <w:rFonts w:hint="eastAsia" w:eastAsia="仿宋_GB2312" w:cs="仿宋"/>
          <w:color w:val="auto"/>
          <w:sz w:val="32"/>
          <w:szCs w:val="32"/>
          <w:lang w:eastAsia="zh-CN"/>
        </w:rPr>
        <w:t>、</w:t>
      </w:r>
      <w:r>
        <w:rPr>
          <w:rFonts w:hint="eastAsia" w:eastAsia="仿宋_GB2312" w:cs="仿宋"/>
          <w:color w:val="auto"/>
          <w:sz w:val="32"/>
          <w:szCs w:val="32"/>
        </w:rPr>
        <w:t>区）、各有关部门要结合本辖区、本部门实际认真研究制定具体落实措施，明确责任，确保各项措施落实到位。</w:t>
      </w:r>
    </w:p>
    <w:p>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rPr>
        <w:t>（二）加大投入保障。</w:t>
      </w:r>
      <w:r>
        <w:rPr>
          <w:rFonts w:hint="eastAsia" w:eastAsia="仿宋_GB2312" w:cs="仿宋"/>
          <w:color w:val="auto"/>
          <w:sz w:val="32"/>
          <w:szCs w:val="32"/>
        </w:rPr>
        <w:t>健全食品和农产品质量安全财政投入保障机制，将食品和农产品质量安全工作经费列入财政预算，保障必要的监管执法条件。鼓励社会资本进入食品安全专业化服务领域，构建多元化投入保障机制。</w:t>
      </w:r>
    </w:p>
    <w:p>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rPr>
        <w:t>（三）激励担当作为。</w:t>
      </w:r>
      <w:r>
        <w:rPr>
          <w:rFonts w:hint="eastAsia" w:eastAsia="仿宋_GB2312" w:cs="仿宋"/>
          <w:color w:val="auto"/>
          <w:sz w:val="32"/>
          <w:szCs w:val="32"/>
        </w:rPr>
        <w:t>各级各部门完善落实“尽职照单免责、失职照单问责”，激励干部担当尽责、干事创业、改革创新，为想干事、敢干事、干成事创造条件。</w:t>
      </w:r>
    </w:p>
    <w:p>
      <w:pPr>
        <w:spacing w:line="560" w:lineRule="exact"/>
        <w:ind w:firstLine="643" w:firstLineChars="200"/>
        <w:rPr>
          <w:rFonts w:hint="eastAsia" w:ascii="仿宋" w:hAnsi="仿宋" w:eastAsia="仿宋" w:cs="仿宋"/>
          <w:color w:val="auto"/>
          <w:sz w:val="32"/>
          <w:szCs w:val="32"/>
          <w:lang w:eastAsia="zh-CN"/>
        </w:rPr>
      </w:pPr>
      <w:r>
        <w:rPr>
          <w:rFonts w:hint="eastAsia" w:ascii="楷体" w:hAnsi="楷体" w:eastAsia="楷体" w:cs="楷体"/>
          <w:b/>
          <w:bCs/>
          <w:color w:val="auto"/>
          <w:sz w:val="32"/>
          <w:szCs w:val="32"/>
        </w:rPr>
        <w:t>（四）严格考核评估。</w:t>
      </w:r>
      <w:r>
        <w:rPr>
          <w:rFonts w:hint="eastAsia" w:eastAsia="仿宋_GB2312" w:cs="仿宋"/>
          <w:color w:val="auto"/>
          <w:sz w:val="32"/>
          <w:szCs w:val="32"/>
        </w:rPr>
        <w:t>各有关部门要按照职责分工，细化目标，分解任务，制订实施方案，落实各项规划任务。建立健全考核评估和监督机制，对规划的执行情况及时进行中期评估和终期考核，加强监督检查，严格考核奖惩，确保规划目标的实</w:t>
      </w:r>
      <w:r>
        <w:rPr>
          <w:rFonts w:hint="eastAsia" w:eastAsia="仿宋_GB2312" w:cs="仿宋"/>
          <w:color w:val="auto"/>
          <w:sz w:val="32"/>
          <w:szCs w:val="32"/>
          <w:lang w:val="en-US" w:eastAsia="zh-CN"/>
        </w:rPr>
        <w:t>现。</w:t>
      </w:r>
    </w:p>
    <w:sectPr>
      <w:footerReference r:id="rId3" w:type="default"/>
      <w:pgSz w:w="11906" w:h="16838"/>
      <w:pgMar w:top="2041" w:right="1531" w:bottom="2041" w:left="1531" w:header="851" w:footer="992" w:gutter="0"/>
      <w:pgNumType w:fmt="numberInDash" w:start="1" w:chapStyle="1"/>
      <w:cols w:space="0" w:num="1"/>
      <w:rtlGutter w:val="0"/>
      <w:docGrid w:type="lines" w:linePitch="3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sz w:val="18"/>
      </w:rPr>
      <w:pict>
        <v:shape id="_x0000_s4097" o:spid="_x0000_s4097" o:spt="202" type="#_x0000_t202" style="position:absolute;left:0pt;margin-top:-9.75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jc w:val="center"/>
                </w:pPr>
                <w:r>
                  <w:rPr>
                    <w:rStyle w:val="20"/>
                    <w:rFonts w:hint="eastAsia" w:asciiTheme="minorEastAsia" w:hAnsiTheme="minorEastAsia" w:eastAsiaTheme="minorEastAsia" w:cstheme="minorEastAsia"/>
                    <w:sz w:val="28"/>
                    <w:szCs w:val="28"/>
                  </w:rPr>
                  <w:fldChar w:fldCharType="begin"/>
                </w:r>
                <w:r>
                  <w:rPr>
                    <w:rStyle w:val="20"/>
                    <w:rFonts w:hint="eastAsia" w:asciiTheme="minorEastAsia" w:hAnsiTheme="minorEastAsia" w:eastAsiaTheme="minorEastAsia" w:cstheme="minorEastAsia"/>
                    <w:sz w:val="28"/>
                    <w:szCs w:val="28"/>
                  </w:rPr>
                  <w:instrText xml:space="preserve"> PAGE </w:instrText>
                </w:r>
                <w:r>
                  <w:rPr>
                    <w:rStyle w:val="20"/>
                    <w:rFonts w:hint="eastAsia" w:asciiTheme="minorEastAsia" w:hAnsiTheme="minorEastAsia" w:eastAsiaTheme="minorEastAsia" w:cstheme="minorEastAsia"/>
                    <w:sz w:val="28"/>
                    <w:szCs w:val="28"/>
                  </w:rPr>
                  <w:fldChar w:fldCharType="separate"/>
                </w:r>
                <w:r>
                  <w:rPr>
                    <w:rStyle w:val="20"/>
                    <w:rFonts w:hint="eastAsia" w:asciiTheme="minorEastAsia" w:hAnsiTheme="minorEastAsia" w:eastAsiaTheme="minorEastAsia" w:cstheme="minorEastAsia"/>
                    <w:sz w:val="28"/>
                    <w:szCs w:val="28"/>
                  </w:rPr>
                  <w:t>- 24 -</w:t>
                </w:r>
                <w:r>
                  <w:rPr>
                    <w:rStyle w:val="20"/>
                    <w:rFonts w:hint="eastAsia" w:asciiTheme="minorEastAsia" w:hAnsiTheme="minorEastAsia" w:eastAsia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NotTrackMoves/>
  <w:trackRevisions w:val="1"/>
  <w:documentProtection w:enforcement="0"/>
  <w:defaultTabStop w:val="420"/>
  <w:drawingGridHorizontalSpacing w:val="148"/>
  <w:drawingGridVerticalSpacing w:val="193"/>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F470142"/>
    <w:rsid w:val="000A0463"/>
    <w:rsid w:val="000F609A"/>
    <w:rsid w:val="00102251"/>
    <w:rsid w:val="001C1662"/>
    <w:rsid w:val="00214ADF"/>
    <w:rsid w:val="00231E00"/>
    <w:rsid w:val="002340FC"/>
    <w:rsid w:val="00272C25"/>
    <w:rsid w:val="00296F49"/>
    <w:rsid w:val="002A5A28"/>
    <w:rsid w:val="002A6A6C"/>
    <w:rsid w:val="002B23CB"/>
    <w:rsid w:val="002C4EF4"/>
    <w:rsid w:val="00384B47"/>
    <w:rsid w:val="00466A72"/>
    <w:rsid w:val="00542BFB"/>
    <w:rsid w:val="005671A4"/>
    <w:rsid w:val="0063074D"/>
    <w:rsid w:val="00643189"/>
    <w:rsid w:val="0069784A"/>
    <w:rsid w:val="006E4DD8"/>
    <w:rsid w:val="006F6F86"/>
    <w:rsid w:val="006F772D"/>
    <w:rsid w:val="00731750"/>
    <w:rsid w:val="00776C68"/>
    <w:rsid w:val="00834170"/>
    <w:rsid w:val="00860E25"/>
    <w:rsid w:val="008775AE"/>
    <w:rsid w:val="008E2F52"/>
    <w:rsid w:val="009174CA"/>
    <w:rsid w:val="00923851"/>
    <w:rsid w:val="00970CF9"/>
    <w:rsid w:val="009D3C1E"/>
    <w:rsid w:val="009D4217"/>
    <w:rsid w:val="009D52EE"/>
    <w:rsid w:val="00A26083"/>
    <w:rsid w:val="00A825FF"/>
    <w:rsid w:val="00AC63A2"/>
    <w:rsid w:val="00AD748E"/>
    <w:rsid w:val="00AE0569"/>
    <w:rsid w:val="00AE7DD0"/>
    <w:rsid w:val="00AF252A"/>
    <w:rsid w:val="00B337EF"/>
    <w:rsid w:val="00BF202C"/>
    <w:rsid w:val="00C36B0E"/>
    <w:rsid w:val="00C53FBE"/>
    <w:rsid w:val="00C758BE"/>
    <w:rsid w:val="00CA1481"/>
    <w:rsid w:val="00CA4C07"/>
    <w:rsid w:val="00CC75AD"/>
    <w:rsid w:val="00D0560F"/>
    <w:rsid w:val="00E546B5"/>
    <w:rsid w:val="00EC1399"/>
    <w:rsid w:val="00ED04A7"/>
    <w:rsid w:val="00F7669D"/>
    <w:rsid w:val="00FD1ED8"/>
    <w:rsid w:val="00FD61A6"/>
    <w:rsid w:val="00FE3CED"/>
    <w:rsid w:val="00FF63C4"/>
    <w:rsid w:val="010A094C"/>
    <w:rsid w:val="011D56A4"/>
    <w:rsid w:val="012F210F"/>
    <w:rsid w:val="014763D4"/>
    <w:rsid w:val="01531926"/>
    <w:rsid w:val="018E0378"/>
    <w:rsid w:val="019E1DAE"/>
    <w:rsid w:val="01BC6140"/>
    <w:rsid w:val="01C20134"/>
    <w:rsid w:val="01C64392"/>
    <w:rsid w:val="01C73279"/>
    <w:rsid w:val="020253F3"/>
    <w:rsid w:val="02185FC6"/>
    <w:rsid w:val="021963B0"/>
    <w:rsid w:val="021B4646"/>
    <w:rsid w:val="02425D56"/>
    <w:rsid w:val="02582436"/>
    <w:rsid w:val="026A2251"/>
    <w:rsid w:val="026B68EE"/>
    <w:rsid w:val="027274E7"/>
    <w:rsid w:val="02772BB8"/>
    <w:rsid w:val="027A059A"/>
    <w:rsid w:val="027D4219"/>
    <w:rsid w:val="02824A25"/>
    <w:rsid w:val="028D1978"/>
    <w:rsid w:val="02D65FB0"/>
    <w:rsid w:val="02DF69B4"/>
    <w:rsid w:val="02F04D44"/>
    <w:rsid w:val="02F7503F"/>
    <w:rsid w:val="02F84735"/>
    <w:rsid w:val="02FA37BC"/>
    <w:rsid w:val="03026BF6"/>
    <w:rsid w:val="030431F8"/>
    <w:rsid w:val="031E4D49"/>
    <w:rsid w:val="031F3ED3"/>
    <w:rsid w:val="035B244E"/>
    <w:rsid w:val="03703FA8"/>
    <w:rsid w:val="0375184D"/>
    <w:rsid w:val="03806368"/>
    <w:rsid w:val="03AC32BA"/>
    <w:rsid w:val="03B40341"/>
    <w:rsid w:val="03F55AFB"/>
    <w:rsid w:val="040700CD"/>
    <w:rsid w:val="04190266"/>
    <w:rsid w:val="041A6B76"/>
    <w:rsid w:val="041B29F2"/>
    <w:rsid w:val="04292F14"/>
    <w:rsid w:val="044D56A0"/>
    <w:rsid w:val="048C04C5"/>
    <w:rsid w:val="04B44C91"/>
    <w:rsid w:val="04B47AF1"/>
    <w:rsid w:val="04BB74C8"/>
    <w:rsid w:val="04C65E01"/>
    <w:rsid w:val="04DC666C"/>
    <w:rsid w:val="04DE07B3"/>
    <w:rsid w:val="04E30CB5"/>
    <w:rsid w:val="04E95EBF"/>
    <w:rsid w:val="04F76220"/>
    <w:rsid w:val="051E32B5"/>
    <w:rsid w:val="05394D8D"/>
    <w:rsid w:val="055141BA"/>
    <w:rsid w:val="055C2D67"/>
    <w:rsid w:val="057300FB"/>
    <w:rsid w:val="057C538C"/>
    <w:rsid w:val="058223F4"/>
    <w:rsid w:val="05974727"/>
    <w:rsid w:val="059A0F84"/>
    <w:rsid w:val="05D6196D"/>
    <w:rsid w:val="05F031EC"/>
    <w:rsid w:val="05F9313E"/>
    <w:rsid w:val="05FA133D"/>
    <w:rsid w:val="060B080A"/>
    <w:rsid w:val="060B414F"/>
    <w:rsid w:val="061F241A"/>
    <w:rsid w:val="0621783D"/>
    <w:rsid w:val="062D0BBD"/>
    <w:rsid w:val="06367522"/>
    <w:rsid w:val="06427DDD"/>
    <w:rsid w:val="06575589"/>
    <w:rsid w:val="06825BF2"/>
    <w:rsid w:val="06981858"/>
    <w:rsid w:val="06BD4D53"/>
    <w:rsid w:val="06C63E03"/>
    <w:rsid w:val="06E33421"/>
    <w:rsid w:val="06E427A2"/>
    <w:rsid w:val="071B3805"/>
    <w:rsid w:val="072B6248"/>
    <w:rsid w:val="0748155C"/>
    <w:rsid w:val="077A72EC"/>
    <w:rsid w:val="078955DB"/>
    <w:rsid w:val="078D4CE4"/>
    <w:rsid w:val="078F2C1C"/>
    <w:rsid w:val="079A52A0"/>
    <w:rsid w:val="07AD4615"/>
    <w:rsid w:val="07CD0A62"/>
    <w:rsid w:val="07D470E7"/>
    <w:rsid w:val="07D8154A"/>
    <w:rsid w:val="083846AA"/>
    <w:rsid w:val="0845377B"/>
    <w:rsid w:val="084A321B"/>
    <w:rsid w:val="08532364"/>
    <w:rsid w:val="085C6F68"/>
    <w:rsid w:val="085D38C1"/>
    <w:rsid w:val="086A51FE"/>
    <w:rsid w:val="08723D6D"/>
    <w:rsid w:val="088712F6"/>
    <w:rsid w:val="089E4202"/>
    <w:rsid w:val="089F26A5"/>
    <w:rsid w:val="08A53FF7"/>
    <w:rsid w:val="08E723DB"/>
    <w:rsid w:val="08EC6CE4"/>
    <w:rsid w:val="08F862A3"/>
    <w:rsid w:val="090F4522"/>
    <w:rsid w:val="09111AD7"/>
    <w:rsid w:val="09237E3D"/>
    <w:rsid w:val="09282187"/>
    <w:rsid w:val="092A7611"/>
    <w:rsid w:val="0938259C"/>
    <w:rsid w:val="094B6AE3"/>
    <w:rsid w:val="095759EA"/>
    <w:rsid w:val="095B1D54"/>
    <w:rsid w:val="097B0E47"/>
    <w:rsid w:val="097B3337"/>
    <w:rsid w:val="09803320"/>
    <w:rsid w:val="09862C2B"/>
    <w:rsid w:val="098650B7"/>
    <w:rsid w:val="099A42EC"/>
    <w:rsid w:val="099F416B"/>
    <w:rsid w:val="09B60407"/>
    <w:rsid w:val="09B71A05"/>
    <w:rsid w:val="09CA404F"/>
    <w:rsid w:val="09D10879"/>
    <w:rsid w:val="09F0672A"/>
    <w:rsid w:val="09F5028B"/>
    <w:rsid w:val="09FB5B7E"/>
    <w:rsid w:val="09FC3049"/>
    <w:rsid w:val="0A0D182F"/>
    <w:rsid w:val="0A26305E"/>
    <w:rsid w:val="0A4C2006"/>
    <w:rsid w:val="0A514936"/>
    <w:rsid w:val="0A677A70"/>
    <w:rsid w:val="0A6902D9"/>
    <w:rsid w:val="0A8F442B"/>
    <w:rsid w:val="0AA1275D"/>
    <w:rsid w:val="0AAC2EBF"/>
    <w:rsid w:val="0AB815D7"/>
    <w:rsid w:val="0B001DCC"/>
    <w:rsid w:val="0B392304"/>
    <w:rsid w:val="0B533707"/>
    <w:rsid w:val="0B83275A"/>
    <w:rsid w:val="0B90112B"/>
    <w:rsid w:val="0BAE4F76"/>
    <w:rsid w:val="0BF00AEB"/>
    <w:rsid w:val="0BF4327C"/>
    <w:rsid w:val="0BF67003"/>
    <w:rsid w:val="0C042937"/>
    <w:rsid w:val="0C121E95"/>
    <w:rsid w:val="0C3A55F4"/>
    <w:rsid w:val="0C431C76"/>
    <w:rsid w:val="0C567DB1"/>
    <w:rsid w:val="0C7C2A97"/>
    <w:rsid w:val="0C9F279B"/>
    <w:rsid w:val="0CD72077"/>
    <w:rsid w:val="0CE2428D"/>
    <w:rsid w:val="0CFD5E2C"/>
    <w:rsid w:val="0D0C5BB8"/>
    <w:rsid w:val="0D412327"/>
    <w:rsid w:val="0D5D3515"/>
    <w:rsid w:val="0D7319C3"/>
    <w:rsid w:val="0D9E31A8"/>
    <w:rsid w:val="0DBD5CA2"/>
    <w:rsid w:val="0DC23E9F"/>
    <w:rsid w:val="0DC87684"/>
    <w:rsid w:val="0DDC6704"/>
    <w:rsid w:val="0DE41759"/>
    <w:rsid w:val="0DFD2ED4"/>
    <w:rsid w:val="0E0656CA"/>
    <w:rsid w:val="0E252A37"/>
    <w:rsid w:val="0E382CCD"/>
    <w:rsid w:val="0E74618C"/>
    <w:rsid w:val="0E826A09"/>
    <w:rsid w:val="0EAC0929"/>
    <w:rsid w:val="0ECC3B96"/>
    <w:rsid w:val="0EE33F1E"/>
    <w:rsid w:val="0EF03C32"/>
    <w:rsid w:val="0EFE2A03"/>
    <w:rsid w:val="0F011883"/>
    <w:rsid w:val="0F591D46"/>
    <w:rsid w:val="0FA344C5"/>
    <w:rsid w:val="0FB0429C"/>
    <w:rsid w:val="0FB121FE"/>
    <w:rsid w:val="0FB92C29"/>
    <w:rsid w:val="0FC46458"/>
    <w:rsid w:val="0FC466B6"/>
    <w:rsid w:val="0FD029F2"/>
    <w:rsid w:val="0FE87803"/>
    <w:rsid w:val="10075919"/>
    <w:rsid w:val="101617F2"/>
    <w:rsid w:val="10346062"/>
    <w:rsid w:val="10467A84"/>
    <w:rsid w:val="105716BC"/>
    <w:rsid w:val="10656196"/>
    <w:rsid w:val="10A64939"/>
    <w:rsid w:val="10D13F9A"/>
    <w:rsid w:val="10FB7DFA"/>
    <w:rsid w:val="11261276"/>
    <w:rsid w:val="112F3EE8"/>
    <w:rsid w:val="11415DEA"/>
    <w:rsid w:val="1155426A"/>
    <w:rsid w:val="115603A3"/>
    <w:rsid w:val="115A0AFD"/>
    <w:rsid w:val="116A44D4"/>
    <w:rsid w:val="1170074F"/>
    <w:rsid w:val="11893260"/>
    <w:rsid w:val="119F2D73"/>
    <w:rsid w:val="11A74BDB"/>
    <w:rsid w:val="11DB4354"/>
    <w:rsid w:val="12452970"/>
    <w:rsid w:val="124650D8"/>
    <w:rsid w:val="1268094F"/>
    <w:rsid w:val="127C2691"/>
    <w:rsid w:val="12B73078"/>
    <w:rsid w:val="12BE7ACA"/>
    <w:rsid w:val="12C270E1"/>
    <w:rsid w:val="12E31690"/>
    <w:rsid w:val="12EB2B1C"/>
    <w:rsid w:val="13095CBE"/>
    <w:rsid w:val="133E794D"/>
    <w:rsid w:val="13422FDA"/>
    <w:rsid w:val="134D21D4"/>
    <w:rsid w:val="134D7997"/>
    <w:rsid w:val="13AB425B"/>
    <w:rsid w:val="13F17D71"/>
    <w:rsid w:val="14123414"/>
    <w:rsid w:val="1434720A"/>
    <w:rsid w:val="143E4A13"/>
    <w:rsid w:val="14521A6D"/>
    <w:rsid w:val="145223C2"/>
    <w:rsid w:val="14780326"/>
    <w:rsid w:val="147C6852"/>
    <w:rsid w:val="14920CCD"/>
    <w:rsid w:val="14B74DF1"/>
    <w:rsid w:val="14C726DB"/>
    <w:rsid w:val="14E01948"/>
    <w:rsid w:val="14E302E8"/>
    <w:rsid w:val="14EE6F3E"/>
    <w:rsid w:val="151A55EB"/>
    <w:rsid w:val="152510BF"/>
    <w:rsid w:val="15416995"/>
    <w:rsid w:val="15535950"/>
    <w:rsid w:val="155D3EC2"/>
    <w:rsid w:val="156D0B92"/>
    <w:rsid w:val="157E0944"/>
    <w:rsid w:val="157E175C"/>
    <w:rsid w:val="159D6DA5"/>
    <w:rsid w:val="15AF79E0"/>
    <w:rsid w:val="15B904B2"/>
    <w:rsid w:val="15C315CC"/>
    <w:rsid w:val="15C40444"/>
    <w:rsid w:val="15E644EC"/>
    <w:rsid w:val="15FC251C"/>
    <w:rsid w:val="1602456F"/>
    <w:rsid w:val="161D407C"/>
    <w:rsid w:val="165405F4"/>
    <w:rsid w:val="165A00D3"/>
    <w:rsid w:val="16653DC2"/>
    <w:rsid w:val="16825780"/>
    <w:rsid w:val="16990F40"/>
    <w:rsid w:val="16A761CE"/>
    <w:rsid w:val="16AE4790"/>
    <w:rsid w:val="16D23FD5"/>
    <w:rsid w:val="16D6516E"/>
    <w:rsid w:val="16E76AA3"/>
    <w:rsid w:val="17017830"/>
    <w:rsid w:val="17220068"/>
    <w:rsid w:val="17290F5B"/>
    <w:rsid w:val="173A2A36"/>
    <w:rsid w:val="17504C38"/>
    <w:rsid w:val="17510965"/>
    <w:rsid w:val="17725F70"/>
    <w:rsid w:val="1780316A"/>
    <w:rsid w:val="17C047A9"/>
    <w:rsid w:val="17D110D1"/>
    <w:rsid w:val="17D36F80"/>
    <w:rsid w:val="17DA020E"/>
    <w:rsid w:val="17E77901"/>
    <w:rsid w:val="17EA0802"/>
    <w:rsid w:val="17FF10B6"/>
    <w:rsid w:val="18001CA7"/>
    <w:rsid w:val="180538D9"/>
    <w:rsid w:val="1807604B"/>
    <w:rsid w:val="18131863"/>
    <w:rsid w:val="18276512"/>
    <w:rsid w:val="182B3908"/>
    <w:rsid w:val="18327729"/>
    <w:rsid w:val="1835610C"/>
    <w:rsid w:val="187D5347"/>
    <w:rsid w:val="18911D1B"/>
    <w:rsid w:val="18BC5366"/>
    <w:rsid w:val="18C92613"/>
    <w:rsid w:val="18C92806"/>
    <w:rsid w:val="18CD27DD"/>
    <w:rsid w:val="18D02440"/>
    <w:rsid w:val="18D3493B"/>
    <w:rsid w:val="18D76758"/>
    <w:rsid w:val="18E95BB6"/>
    <w:rsid w:val="18EA62E9"/>
    <w:rsid w:val="18EC2144"/>
    <w:rsid w:val="191E4420"/>
    <w:rsid w:val="19240E96"/>
    <w:rsid w:val="19314DE0"/>
    <w:rsid w:val="19336A2C"/>
    <w:rsid w:val="1938174A"/>
    <w:rsid w:val="195F75DB"/>
    <w:rsid w:val="19722C4B"/>
    <w:rsid w:val="19730FE6"/>
    <w:rsid w:val="19A934ED"/>
    <w:rsid w:val="19B64D11"/>
    <w:rsid w:val="19BC6A46"/>
    <w:rsid w:val="19C11B4B"/>
    <w:rsid w:val="19C93062"/>
    <w:rsid w:val="19CA3053"/>
    <w:rsid w:val="19CC75D8"/>
    <w:rsid w:val="19E9242D"/>
    <w:rsid w:val="1A224844"/>
    <w:rsid w:val="1A3011DF"/>
    <w:rsid w:val="1A4141EE"/>
    <w:rsid w:val="1A485ADC"/>
    <w:rsid w:val="1A8424DC"/>
    <w:rsid w:val="1AC02589"/>
    <w:rsid w:val="1AD81677"/>
    <w:rsid w:val="1AE66334"/>
    <w:rsid w:val="1AF97982"/>
    <w:rsid w:val="1B0E60C7"/>
    <w:rsid w:val="1B32785A"/>
    <w:rsid w:val="1B34284F"/>
    <w:rsid w:val="1B403AD8"/>
    <w:rsid w:val="1B6B064F"/>
    <w:rsid w:val="1B72333D"/>
    <w:rsid w:val="1B867695"/>
    <w:rsid w:val="1B87139C"/>
    <w:rsid w:val="1B935A3C"/>
    <w:rsid w:val="1BA0562C"/>
    <w:rsid w:val="1BA54DE8"/>
    <w:rsid w:val="1BAD6E5B"/>
    <w:rsid w:val="1BB82D99"/>
    <w:rsid w:val="1BC16399"/>
    <w:rsid w:val="1C065C89"/>
    <w:rsid w:val="1C193F5E"/>
    <w:rsid w:val="1C334822"/>
    <w:rsid w:val="1C421A06"/>
    <w:rsid w:val="1C4C018A"/>
    <w:rsid w:val="1C51684F"/>
    <w:rsid w:val="1C6252DC"/>
    <w:rsid w:val="1C6C2F6C"/>
    <w:rsid w:val="1C8D27FA"/>
    <w:rsid w:val="1CB63D5A"/>
    <w:rsid w:val="1CBC5C43"/>
    <w:rsid w:val="1CDA0564"/>
    <w:rsid w:val="1CE7349F"/>
    <w:rsid w:val="1CEF58BC"/>
    <w:rsid w:val="1D095392"/>
    <w:rsid w:val="1D0B091A"/>
    <w:rsid w:val="1D190461"/>
    <w:rsid w:val="1D2909D9"/>
    <w:rsid w:val="1D636934"/>
    <w:rsid w:val="1D71774E"/>
    <w:rsid w:val="1D741496"/>
    <w:rsid w:val="1D8122D5"/>
    <w:rsid w:val="1DBB08BF"/>
    <w:rsid w:val="1DBF22D2"/>
    <w:rsid w:val="1DC77099"/>
    <w:rsid w:val="1DD617F6"/>
    <w:rsid w:val="1DE1719D"/>
    <w:rsid w:val="1DE37F3A"/>
    <w:rsid w:val="1DEB762E"/>
    <w:rsid w:val="1DF04314"/>
    <w:rsid w:val="1E0C6038"/>
    <w:rsid w:val="1E3E6DFA"/>
    <w:rsid w:val="1E58325C"/>
    <w:rsid w:val="1E761E4E"/>
    <w:rsid w:val="1E97053D"/>
    <w:rsid w:val="1EA71399"/>
    <w:rsid w:val="1EAD44F5"/>
    <w:rsid w:val="1EB136D6"/>
    <w:rsid w:val="1EC865AA"/>
    <w:rsid w:val="1ED9451A"/>
    <w:rsid w:val="1F1B40C6"/>
    <w:rsid w:val="1F335E70"/>
    <w:rsid w:val="1F4224B3"/>
    <w:rsid w:val="1F622395"/>
    <w:rsid w:val="1F8961B4"/>
    <w:rsid w:val="1FBB0A19"/>
    <w:rsid w:val="1FD3592B"/>
    <w:rsid w:val="1FDF7769"/>
    <w:rsid w:val="1FED5A3D"/>
    <w:rsid w:val="20020FE1"/>
    <w:rsid w:val="201A1775"/>
    <w:rsid w:val="20205D0D"/>
    <w:rsid w:val="20260569"/>
    <w:rsid w:val="20267136"/>
    <w:rsid w:val="202F2EE8"/>
    <w:rsid w:val="20445A62"/>
    <w:rsid w:val="20791F29"/>
    <w:rsid w:val="209620D0"/>
    <w:rsid w:val="2097574B"/>
    <w:rsid w:val="20AC3155"/>
    <w:rsid w:val="20B97E63"/>
    <w:rsid w:val="20C86647"/>
    <w:rsid w:val="20DA0B71"/>
    <w:rsid w:val="20DA536E"/>
    <w:rsid w:val="20F525B6"/>
    <w:rsid w:val="20F72F9C"/>
    <w:rsid w:val="20F80C71"/>
    <w:rsid w:val="20F873A9"/>
    <w:rsid w:val="20FE6118"/>
    <w:rsid w:val="211406E5"/>
    <w:rsid w:val="21283342"/>
    <w:rsid w:val="217346DC"/>
    <w:rsid w:val="21791AF0"/>
    <w:rsid w:val="217C5932"/>
    <w:rsid w:val="21934D55"/>
    <w:rsid w:val="21A71E53"/>
    <w:rsid w:val="21AA752A"/>
    <w:rsid w:val="21DC366D"/>
    <w:rsid w:val="21E20163"/>
    <w:rsid w:val="21E71DF8"/>
    <w:rsid w:val="21F00B3F"/>
    <w:rsid w:val="21F67FBA"/>
    <w:rsid w:val="220414D2"/>
    <w:rsid w:val="221124D4"/>
    <w:rsid w:val="221475CE"/>
    <w:rsid w:val="224252F7"/>
    <w:rsid w:val="22627B18"/>
    <w:rsid w:val="22903079"/>
    <w:rsid w:val="22B97B1B"/>
    <w:rsid w:val="22C32FEC"/>
    <w:rsid w:val="22C531B9"/>
    <w:rsid w:val="22CD37D9"/>
    <w:rsid w:val="22D760E1"/>
    <w:rsid w:val="22DC0110"/>
    <w:rsid w:val="231E7F53"/>
    <w:rsid w:val="23345A93"/>
    <w:rsid w:val="233A3F79"/>
    <w:rsid w:val="23475135"/>
    <w:rsid w:val="235C5CD5"/>
    <w:rsid w:val="235D7F77"/>
    <w:rsid w:val="235E597C"/>
    <w:rsid w:val="23684107"/>
    <w:rsid w:val="23A33B93"/>
    <w:rsid w:val="23AA390F"/>
    <w:rsid w:val="23BC41B3"/>
    <w:rsid w:val="23CC37AB"/>
    <w:rsid w:val="23CF0BFF"/>
    <w:rsid w:val="23F76FB6"/>
    <w:rsid w:val="23F80C48"/>
    <w:rsid w:val="23FA1E92"/>
    <w:rsid w:val="2403585A"/>
    <w:rsid w:val="241A1FAE"/>
    <w:rsid w:val="2439336B"/>
    <w:rsid w:val="245A3D1A"/>
    <w:rsid w:val="249C62D3"/>
    <w:rsid w:val="24B156D6"/>
    <w:rsid w:val="24C818B8"/>
    <w:rsid w:val="24CC6AAE"/>
    <w:rsid w:val="252559DF"/>
    <w:rsid w:val="256B78C1"/>
    <w:rsid w:val="257322D3"/>
    <w:rsid w:val="257468DE"/>
    <w:rsid w:val="257F28DE"/>
    <w:rsid w:val="258F5FA0"/>
    <w:rsid w:val="259C1172"/>
    <w:rsid w:val="25D37718"/>
    <w:rsid w:val="25F9235E"/>
    <w:rsid w:val="2609632E"/>
    <w:rsid w:val="26153797"/>
    <w:rsid w:val="264B3DA9"/>
    <w:rsid w:val="265705F1"/>
    <w:rsid w:val="26934936"/>
    <w:rsid w:val="26B71837"/>
    <w:rsid w:val="26BF6EB8"/>
    <w:rsid w:val="26C1079E"/>
    <w:rsid w:val="26EE59BF"/>
    <w:rsid w:val="271363B8"/>
    <w:rsid w:val="27271E22"/>
    <w:rsid w:val="27300EEE"/>
    <w:rsid w:val="27413F61"/>
    <w:rsid w:val="275B4F46"/>
    <w:rsid w:val="275C5DA2"/>
    <w:rsid w:val="276B3DC7"/>
    <w:rsid w:val="27A27C68"/>
    <w:rsid w:val="27AB2774"/>
    <w:rsid w:val="27AD734D"/>
    <w:rsid w:val="27B024E4"/>
    <w:rsid w:val="27BD6D75"/>
    <w:rsid w:val="27D55944"/>
    <w:rsid w:val="27E6331B"/>
    <w:rsid w:val="27F75656"/>
    <w:rsid w:val="27F950F6"/>
    <w:rsid w:val="28033A97"/>
    <w:rsid w:val="281445B0"/>
    <w:rsid w:val="281C77CB"/>
    <w:rsid w:val="282A1F20"/>
    <w:rsid w:val="282E77CF"/>
    <w:rsid w:val="283074F5"/>
    <w:rsid w:val="283F182E"/>
    <w:rsid w:val="2862388D"/>
    <w:rsid w:val="28A70320"/>
    <w:rsid w:val="28AA4B12"/>
    <w:rsid w:val="28D01B8B"/>
    <w:rsid w:val="28D0639F"/>
    <w:rsid w:val="28F27609"/>
    <w:rsid w:val="292E54E7"/>
    <w:rsid w:val="293B5AD2"/>
    <w:rsid w:val="295F6245"/>
    <w:rsid w:val="29671D62"/>
    <w:rsid w:val="2967713E"/>
    <w:rsid w:val="29771E29"/>
    <w:rsid w:val="29910989"/>
    <w:rsid w:val="299C6F94"/>
    <w:rsid w:val="29AC78E8"/>
    <w:rsid w:val="29CF1DAE"/>
    <w:rsid w:val="2A066163"/>
    <w:rsid w:val="2A0E0F2C"/>
    <w:rsid w:val="2A111DDA"/>
    <w:rsid w:val="2A16580E"/>
    <w:rsid w:val="2A184F9F"/>
    <w:rsid w:val="2A1C4338"/>
    <w:rsid w:val="2A266C19"/>
    <w:rsid w:val="2A3473D6"/>
    <w:rsid w:val="2A560A9B"/>
    <w:rsid w:val="2A58686A"/>
    <w:rsid w:val="2A7A6B4E"/>
    <w:rsid w:val="2A812890"/>
    <w:rsid w:val="2A835C11"/>
    <w:rsid w:val="2A8A2BAF"/>
    <w:rsid w:val="2A8E6278"/>
    <w:rsid w:val="2AA00713"/>
    <w:rsid w:val="2AA37AB4"/>
    <w:rsid w:val="2AC25BD3"/>
    <w:rsid w:val="2ADA1662"/>
    <w:rsid w:val="2AF153CF"/>
    <w:rsid w:val="2AFA7012"/>
    <w:rsid w:val="2AFE7702"/>
    <w:rsid w:val="2AFF71D4"/>
    <w:rsid w:val="2B070F85"/>
    <w:rsid w:val="2B1826F9"/>
    <w:rsid w:val="2B5064FF"/>
    <w:rsid w:val="2B5F2BAB"/>
    <w:rsid w:val="2B6130C5"/>
    <w:rsid w:val="2B61672C"/>
    <w:rsid w:val="2B652CED"/>
    <w:rsid w:val="2B805BC4"/>
    <w:rsid w:val="2BC74C94"/>
    <w:rsid w:val="2BCF697F"/>
    <w:rsid w:val="2C1F3E11"/>
    <w:rsid w:val="2C4903BF"/>
    <w:rsid w:val="2C4A0292"/>
    <w:rsid w:val="2C515707"/>
    <w:rsid w:val="2C834AEA"/>
    <w:rsid w:val="2CAA2577"/>
    <w:rsid w:val="2CB55CFB"/>
    <w:rsid w:val="2CBB267A"/>
    <w:rsid w:val="2CCB046C"/>
    <w:rsid w:val="2CD324BD"/>
    <w:rsid w:val="2CDB525D"/>
    <w:rsid w:val="2CF12A18"/>
    <w:rsid w:val="2CF76ADF"/>
    <w:rsid w:val="2D2D4C02"/>
    <w:rsid w:val="2D315DB4"/>
    <w:rsid w:val="2D48056B"/>
    <w:rsid w:val="2D5E103C"/>
    <w:rsid w:val="2D6030A7"/>
    <w:rsid w:val="2D784D30"/>
    <w:rsid w:val="2D8E23AD"/>
    <w:rsid w:val="2D9905CF"/>
    <w:rsid w:val="2DA37FEF"/>
    <w:rsid w:val="2DA82B2A"/>
    <w:rsid w:val="2DCA6C50"/>
    <w:rsid w:val="2DD46AF3"/>
    <w:rsid w:val="2DDB5544"/>
    <w:rsid w:val="2DEB755D"/>
    <w:rsid w:val="2DF4457D"/>
    <w:rsid w:val="2E167DDB"/>
    <w:rsid w:val="2E234B28"/>
    <w:rsid w:val="2E260886"/>
    <w:rsid w:val="2E343A0B"/>
    <w:rsid w:val="2E3C3C75"/>
    <w:rsid w:val="2E4A00C1"/>
    <w:rsid w:val="2E5224D2"/>
    <w:rsid w:val="2E5B4DE6"/>
    <w:rsid w:val="2E5C1633"/>
    <w:rsid w:val="2E63630B"/>
    <w:rsid w:val="2E9C462C"/>
    <w:rsid w:val="2EA343A5"/>
    <w:rsid w:val="2EB90496"/>
    <w:rsid w:val="2EBA76EA"/>
    <w:rsid w:val="2EE516FE"/>
    <w:rsid w:val="2EE861BA"/>
    <w:rsid w:val="2F1408F7"/>
    <w:rsid w:val="2F1F26B0"/>
    <w:rsid w:val="2F2E0F67"/>
    <w:rsid w:val="2F420991"/>
    <w:rsid w:val="2F432E80"/>
    <w:rsid w:val="2F4415A0"/>
    <w:rsid w:val="2F5962AD"/>
    <w:rsid w:val="2F7A5D27"/>
    <w:rsid w:val="2F841DC0"/>
    <w:rsid w:val="2FBA0FA5"/>
    <w:rsid w:val="2FD7319E"/>
    <w:rsid w:val="2FF26878"/>
    <w:rsid w:val="30041007"/>
    <w:rsid w:val="303928AA"/>
    <w:rsid w:val="30404773"/>
    <w:rsid w:val="30440A5E"/>
    <w:rsid w:val="30A96054"/>
    <w:rsid w:val="30B45418"/>
    <w:rsid w:val="30BB6D74"/>
    <w:rsid w:val="30E868E6"/>
    <w:rsid w:val="30EB20DA"/>
    <w:rsid w:val="30FA4692"/>
    <w:rsid w:val="311F75E2"/>
    <w:rsid w:val="31246AA0"/>
    <w:rsid w:val="313C2407"/>
    <w:rsid w:val="3145019D"/>
    <w:rsid w:val="314A22A6"/>
    <w:rsid w:val="316055AC"/>
    <w:rsid w:val="317017DB"/>
    <w:rsid w:val="31761E91"/>
    <w:rsid w:val="31B619ED"/>
    <w:rsid w:val="31BD5DB2"/>
    <w:rsid w:val="31D27847"/>
    <w:rsid w:val="31E97CDE"/>
    <w:rsid w:val="31EF4B07"/>
    <w:rsid w:val="31F41057"/>
    <w:rsid w:val="31FA102A"/>
    <w:rsid w:val="31FA1383"/>
    <w:rsid w:val="320F2568"/>
    <w:rsid w:val="32165066"/>
    <w:rsid w:val="321714DA"/>
    <w:rsid w:val="32363F7F"/>
    <w:rsid w:val="32605441"/>
    <w:rsid w:val="3267246E"/>
    <w:rsid w:val="327173AB"/>
    <w:rsid w:val="32904923"/>
    <w:rsid w:val="329A69EE"/>
    <w:rsid w:val="32A60F6C"/>
    <w:rsid w:val="32B52BBD"/>
    <w:rsid w:val="32E53E41"/>
    <w:rsid w:val="32FA4B85"/>
    <w:rsid w:val="32FE1BAD"/>
    <w:rsid w:val="333914D5"/>
    <w:rsid w:val="333D66EC"/>
    <w:rsid w:val="33661827"/>
    <w:rsid w:val="33935E1C"/>
    <w:rsid w:val="33A272AA"/>
    <w:rsid w:val="33B02EC4"/>
    <w:rsid w:val="33CA53CB"/>
    <w:rsid w:val="33CF17E8"/>
    <w:rsid w:val="33DB1BB8"/>
    <w:rsid w:val="33F64CB0"/>
    <w:rsid w:val="33FE6101"/>
    <w:rsid w:val="340235FC"/>
    <w:rsid w:val="340A3F9E"/>
    <w:rsid w:val="34106778"/>
    <w:rsid w:val="34134D24"/>
    <w:rsid w:val="341A1595"/>
    <w:rsid w:val="341A3F09"/>
    <w:rsid w:val="34300170"/>
    <w:rsid w:val="34560D0C"/>
    <w:rsid w:val="34875060"/>
    <w:rsid w:val="348C0CC1"/>
    <w:rsid w:val="34913E80"/>
    <w:rsid w:val="34BB374D"/>
    <w:rsid w:val="34EB2F29"/>
    <w:rsid w:val="34F37102"/>
    <w:rsid w:val="3517556E"/>
    <w:rsid w:val="351B3DB1"/>
    <w:rsid w:val="35366F3D"/>
    <w:rsid w:val="3546214B"/>
    <w:rsid w:val="3560682E"/>
    <w:rsid w:val="35751029"/>
    <w:rsid w:val="35874D87"/>
    <w:rsid w:val="35965232"/>
    <w:rsid w:val="359E7275"/>
    <w:rsid w:val="35A17300"/>
    <w:rsid w:val="35D05B86"/>
    <w:rsid w:val="35D24233"/>
    <w:rsid w:val="35FA2AC3"/>
    <w:rsid w:val="35FF4848"/>
    <w:rsid w:val="36074378"/>
    <w:rsid w:val="360F18C3"/>
    <w:rsid w:val="3636757B"/>
    <w:rsid w:val="364006CB"/>
    <w:rsid w:val="36505776"/>
    <w:rsid w:val="366D3C65"/>
    <w:rsid w:val="3690202B"/>
    <w:rsid w:val="369E09A5"/>
    <w:rsid w:val="36A01FB3"/>
    <w:rsid w:val="36B12A6B"/>
    <w:rsid w:val="36B764D2"/>
    <w:rsid w:val="36BC22D7"/>
    <w:rsid w:val="36E17837"/>
    <w:rsid w:val="36F1411A"/>
    <w:rsid w:val="37226BF7"/>
    <w:rsid w:val="372D3F1D"/>
    <w:rsid w:val="37335ACB"/>
    <w:rsid w:val="37580E64"/>
    <w:rsid w:val="37582672"/>
    <w:rsid w:val="37625521"/>
    <w:rsid w:val="376365B2"/>
    <w:rsid w:val="37880EBD"/>
    <w:rsid w:val="37886042"/>
    <w:rsid w:val="3789785E"/>
    <w:rsid w:val="379E78F9"/>
    <w:rsid w:val="37A37037"/>
    <w:rsid w:val="37C87FD8"/>
    <w:rsid w:val="37D04D88"/>
    <w:rsid w:val="37DC0566"/>
    <w:rsid w:val="37F92A82"/>
    <w:rsid w:val="37FC35A5"/>
    <w:rsid w:val="3819298C"/>
    <w:rsid w:val="381D2C15"/>
    <w:rsid w:val="382F1B6D"/>
    <w:rsid w:val="38455682"/>
    <w:rsid w:val="38532320"/>
    <w:rsid w:val="385B25EE"/>
    <w:rsid w:val="385F1BD2"/>
    <w:rsid w:val="38616644"/>
    <w:rsid w:val="388D2C0E"/>
    <w:rsid w:val="3891794B"/>
    <w:rsid w:val="38933679"/>
    <w:rsid w:val="38CF4993"/>
    <w:rsid w:val="38D17DEA"/>
    <w:rsid w:val="38F5215D"/>
    <w:rsid w:val="38F97224"/>
    <w:rsid w:val="39202717"/>
    <w:rsid w:val="393076F5"/>
    <w:rsid w:val="39324CE5"/>
    <w:rsid w:val="39332D7C"/>
    <w:rsid w:val="39381D3C"/>
    <w:rsid w:val="3946324E"/>
    <w:rsid w:val="394B1EB1"/>
    <w:rsid w:val="39545294"/>
    <w:rsid w:val="3964464A"/>
    <w:rsid w:val="39680635"/>
    <w:rsid w:val="39765843"/>
    <w:rsid w:val="397A082C"/>
    <w:rsid w:val="39844BF9"/>
    <w:rsid w:val="399B277E"/>
    <w:rsid w:val="39AA3314"/>
    <w:rsid w:val="39B22A80"/>
    <w:rsid w:val="39E10853"/>
    <w:rsid w:val="39E507B9"/>
    <w:rsid w:val="39F93930"/>
    <w:rsid w:val="39FA7C5B"/>
    <w:rsid w:val="39FE1926"/>
    <w:rsid w:val="3A056320"/>
    <w:rsid w:val="3A1F0ED0"/>
    <w:rsid w:val="3A2C1548"/>
    <w:rsid w:val="3A2F649D"/>
    <w:rsid w:val="3A485524"/>
    <w:rsid w:val="3A663378"/>
    <w:rsid w:val="3A7527C3"/>
    <w:rsid w:val="3A772E6C"/>
    <w:rsid w:val="3A773F37"/>
    <w:rsid w:val="3A920CE8"/>
    <w:rsid w:val="3AA95625"/>
    <w:rsid w:val="3AB250DA"/>
    <w:rsid w:val="3AB87520"/>
    <w:rsid w:val="3ACD5B15"/>
    <w:rsid w:val="3AD01E1D"/>
    <w:rsid w:val="3ADB160B"/>
    <w:rsid w:val="3ADF2588"/>
    <w:rsid w:val="3AE8317C"/>
    <w:rsid w:val="3AE9594D"/>
    <w:rsid w:val="3AEA4218"/>
    <w:rsid w:val="3AF7497E"/>
    <w:rsid w:val="3AFA09F9"/>
    <w:rsid w:val="3B1D64F3"/>
    <w:rsid w:val="3B1E6299"/>
    <w:rsid w:val="3B370CFB"/>
    <w:rsid w:val="3B452EF7"/>
    <w:rsid w:val="3B6B000E"/>
    <w:rsid w:val="3B6E255C"/>
    <w:rsid w:val="3B7137CA"/>
    <w:rsid w:val="3B841156"/>
    <w:rsid w:val="3BE260E3"/>
    <w:rsid w:val="3C392DAA"/>
    <w:rsid w:val="3C532227"/>
    <w:rsid w:val="3C6F0139"/>
    <w:rsid w:val="3CAB48EA"/>
    <w:rsid w:val="3CAE5E21"/>
    <w:rsid w:val="3CBF79D3"/>
    <w:rsid w:val="3CD2207C"/>
    <w:rsid w:val="3CE91981"/>
    <w:rsid w:val="3D047612"/>
    <w:rsid w:val="3D0C0902"/>
    <w:rsid w:val="3D0E56E2"/>
    <w:rsid w:val="3D14570F"/>
    <w:rsid w:val="3D3A3181"/>
    <w:rsid w:val="3D5720FE"/>
    <w:rsid w:val="3D6664EF"/>
    <w:rsid w:val="3D7529AE"/>
    <w:rsid w:val="3D7F5E75"/>
    <w:rsid w:val="3D8C1C65"/>
    <w:rsid w:val="3D90616A"/>
    <w:rsid w:val="3D9D4CE8"/>
    <w:rsid w:val="3DBE674E"/>
    <w:rsid w:val="3DDC360B"/>
    <w:rsid w:val="3DEF0828"/>
    <w:rsid w:val="3E1975E7"/>
    <w:rsid w:val="3E2D675E"/>
    <w:rsid w:val="3E2E0D97"/>
    <w:rsid w:val="3E327DD8"/>
    <w:rsid w:val="3E473D71"/>
    <w:rsid w:val="3E485859"/>
    <w:rsid w:val="3E4929BF"/>
    <w:rsid w:val="3E515974"/>
    <w:rsid w:val="3E6E4B39"/>
    <w:rsid w:val="3E941DBF"/>
    <w:rsid w:val="3EB129F4"/>
    <w:rsid w:val="3EB63613"/>
    <w:rsid w:val="3EDA5BFF"/>
    <w:rsid w:val="3EEB5218"/>
    <w:rsid w:val="3EF012AE"/>
    <w:rsid w:val="3EF413D4"/>
    <w:rsid w:val="3F0253E7"/>
    <w:rsid w:val="3F0E2371"/>
    <w:rsid w:val="3F217B25"/>
    <w:rsid w:val="3F243B52"/>
    <w:rsid w:val="3F340C76"/>
    <w:rsid w:val="3F400CCE"/>
    <w:rsid w:val="3F440933"/>
    <w:rsid w:val="3F7A071B"/>
    <w:rsid w:val="3F843532"/>
    <w:rsid w:val="3F892B46"/>
    <w:rsid w:val="3F892EBC"/>
    <w:rsid w:val="3FA1310B"/>
    <w:rsid w:val="3FAC5675"/>
    <w:rsid w:val="3FB1182A"/>
    <w:rsid w:val="3FB972C6"/>
    <w:rsid w:val="3FC442E7"/>
    <w:rsid w:val="40145E72"/>
    <w:rsid w:val="402027A6"/>
    <w:rsid w:val="402913BC"/>
    <w:rsid w:val="40355D16"/>
    <w:rsid w:val="40516F9D"/>
    <w:rsid w:val="407140C3"/>
    <w:rsid w:val="408F7CD3"/>
    <w:rsid w:val="40A64450"/>
    <w:rsid w:val="40A93BB0"/>
    <w:rsid w:val="40C141F5"/>
    <w:rsid w:val="40CE23CC"/>
    <w:rsid w:val="40D112C7"/>
    <w:rsid w:val="40EB0269"/>
    <w:rsid w:val="40FD3461"/>
    <w:rsid w:val="410047F2"/>
    <w:rsid w:val="41103683"/>
    <w:rsid w:val="41302E29"/>
    <w:rsid w:val="41313787"/>
    <w:rsid w:val="413C7913"/>
    <w:rsid w:val="41435574"/>
    <w:rsid w:val="41536C4D"/>
    <w:rsid w:val="416D61F1"/>
    <w:rsid w:val="4179734A"/>
    <w:rsid w:val="41B540D0"/>
    <w:rsid w:val="41F17D9C"/>
    <w:rsid w:val="41F66285"/>
    <w:rsid w:val="41FC42A5"/>
    <w:rsid w:val="42013BF5"/>
    <w:rsid w:val="422C24ED"/>
    <w:rsid w:val="4237696B"/>
    <w:rsid w:val="423F0902"/>
    <w:rsid w:val="42473DB6"/>
    <w:rsid w:val="42476823"/>
    <w:rsid w:val="4254607E"/>
    <w:rsid w:val="42784CFE"/>
    <w:rsid w:val="42865708"/>
    <w:rsid w:val="42AE6358"/>
    <w:rsid w:val="42B51731"/>
    <w:rsid w:val="42C04148"/>
    <w:rsid w:val="42CA55C5"/>
    <w:rsid w:val="42D14006"/>
    <w:rsid w:val="42D572F6"/>
    <w:rsid w:val="42E64A0A"/>
    <w:rsid w:val="42F958DB"/>
    <w:rsid w:val="430E0CA5"/>
    <w:rsid w:val="43114322"/>
    <w:rsid w:val="431839FA"/>
    <w:rsid w:val="433767EB"/>
    <w:rsid w:val="434562FB"/>
    <w:rsid w:val="43625E06"/>
    <w:rsid w:val="43715475"/>
    <w:rsid w:val="438025D5"/>
    <w:rsid w:val="43984BD2"/>
    <w:rsid w:val="439C7AA5"/>
    <w:rsid w:val="43AC6E04"/>
    <w:rsid w:val="43B77F2A"/>
    <w:rsid w:val="43BF64A5"/>
    <w:rsid w:val="43D30728"/>
    <w:rsid w:val="43D41DD7"/>
    <w:rsid w:val="43D73FB9"/>
    <w:rsid w:val="43DE19DE"/>
    <w:rsid w:val="43F834C8"/>
    <w:rsid w:val="44082EC8"/>
    <w:rsid w:val="4429279F"/>
    <w:rsid w:val="444E20A2"/>
    <w:rsid w:val="4452295A"/>
    <w:rsid w:val="44AF2EED"/>
    <w:rsid w:val="44B93F82"/>
    <w:rsid w:val="44CB2895"/>
    <w:rsid w:val="450F2BB7"/>
    <w:rsid w:val="452342FD"/>
    <w:rsid w:val="45245D0A"/>
    <w:rsid w:val="452B195B"/>
    <w:rsid w:val="454A4009"/>
    <w:rsid w:val="457C2A58"/>
    <w:rsid w:val="459A74BB"/>
    <w:rsid w:val="459D59CF"/>
    <w:rsid w:val="45A22C23"/>
    <w:rsid w:val="45AE731A"/>
    <w:rsid w:val="45AF2F1D"/>
    <w:rsid w:val="45B569DB"/>
    <w:rsid w:val="45C453BF"/>
    <w:rsid w:val="45CD3AEE"/>
    <w:rsid w:val="45F16625"/>
    <w:rsid w:val="45F85F11"/>
    <w:rsid w:val="45FC09BA"/>
    <w:rsid w:val="46203F42"/>
    <w:rsid w:val="46257E2C"/>
    <w:rsid w:val="46310924"/>
    <w:rsid w:val="46350CB0"/>
    <w:rsid w:val="46436A31"/>
    <w:rsid w:val="46456AD5"/>
    <w:rsid w:val="4653741D"/>
    <w:rsid w:val="465D4A07"/>
    <w:rsid w:val="4669377B"/>
    <w:rsid w:val="466E0EE5"/>
    <w:rsid w:val="468E4785"/>
    <w:rsid w:val="46A82A43"/>
    <w:rsid w:val="46C80DAE"/>
    <w:rsid w:val="46EB2466"/>
    <w:rsid w:val="470F614E"/>
    <w:rsid w:val="471D0E9F"/>
    <w:rsid w:val="472B1B1D"/>
    <w:rsid w:val="474A1348"/>
    <w:rsid w:val="474D127F"/>
    <w:rsid w:val="47533EA2"/>
    <w:rsid w:val="4761603E"/>
    <w:rsid w:val="47841C0B"/>
    <w:rsid w:val="4787070C"/>
    <w:rsid w:val="47A516EF"/>
    <w:rsid w:val="47A52871"/>
    <w:rsid w:val="47C37EAD"/>
    <w:rsid w:val="47D609B2"/>
    <w:rsid w:val="47DB1CBC"/>
    <w:rsid w:val="47E53A4E"/>
    <w:rsid w:val="47EF54B5"/>
    <w:rsid w:val="48115D2F"/>
    <w:rsid w:val="48496F41"/>
    <w:rsid w:val="48780FCB"/>
    <w:rsid w:val="48833FEA"/>
    <w:rsid w:val="48A053B8"/>
    <w:rsid w:val="48BA074B"/>
    <w:rsid w:val="48CD3CC3"/>
    <w:rsid w:val="48EB224D"/>
    <w:rsid w:val="48EE370B"/>
    <w:rsid w:val="49095D2B"/>
    <w:rsid w:val="49144DF7"/>
    <w:rsid w:val="492077EE"/>
    <w:rsid w:val="49510CBA"/>
    <w:rsid w:val="495B3D03"/>
    <w:rsid w:val="49800F60"/>
    <w:rsid w:val="4997066C"/>
    <w:rsid w:val="49A875A3"/>
    <w:rsid w:val="49B004B7"/>
    <w:rsid w:val="49B32AE4"/>
    <w:rsid w:val="49B7303C"/>
    <w:rsid w:val="49D226D0"/>
    <w:rsid w:val="49E62555"/>
    <w:rsid w:val="49ED6FB4"/>
    <w:rsid w:val="4A115DBD"/>
    <w:rsid w:val="4A22735C"/>
    <w:rsid w:val="4A35331D"/>
    <w:rsid w:val="4A5F0240"/>
    <w:rsid w:val="4A62229D"/>
    <w:rsid w:val="4A6B0E15"/>
    <w:rsid w:val="4A7D54D2"/>
    <w:rsid w:val="4A844E69"/>
    <w:rsid w:val="4AA00D7C"/>
    <w:rsid w:val="4AA8175D"/>
    <w:rsid w:val="4AAC1125"/>
    <w:rsid w:val="4ABE2E54"/>
    <w:rsid w:val="4ACA32B3"/>
    <w:rsid w:val="4ACB63B4"/>
    <w:rsid w:val="4AE118AD"/>
    <w:rsid w:val="4B1A277D"/>
    <w:rsid w:val="4B1A2978"/>
    <w:rsid w:val="4B503597"/>
    <w:rsid w:val="4B5A28F2"/>
    <w:rsid w:val="4B6E48B3"/>
    <w:rsid w:val="4B747939"/>
    <w:rsid w:val="4B7F7902"/>
    <w:rsid w:val="4B8F79EF"/>
    <w:rsid w:val="4B9D15B2"/>
    <w:rsid w:val="4BAF6A6B"/>
    <w:rsid w:val="4C231CF8"/>
    <w:rsid w:val="4C28751F"/>
    <w:rsid w:val="4C370ED6"/>
    <w:rsid w:val="4C3759E7"/>
    <w:rsid w:val="4C4B2988"/>
    <w:rsid w:val="4C5C6EB2"/>
    <w:rsid w:val="4C832433"/>
    <w:rsid w:val="4C8479B8"/>
    <w:rsid w:val="4C9B371C"/>
    <w:rsid w:val="4CC2143B"/>
    <w:rsid w:val="4CC305C4"/>
    <w:rsid w:val="4CC75882"/>
    <w:rsid w:val="4CCE571B"/>
    <w:rsid w:val="4CE16B64"/>
    <w:rsid w:val="4CF97426"/>
    <w:rsid w:val="4CFB797C"/>
    <w:rsid w:val="4D015EFD"/>
    <w:rsid w:val="4D2F641C"/>
    <w:rsid w:val="4D4E3056"/>
    <w:rsid w:val="4DA27C3C"/>
    <w:rsid w:val="4DA93061"/>
    <w:rsid w:val="4DAC206F"/>
    <w:rsid w:val="4DBD5142"/>
    <w:rsid w:val="4DD42DBF"/>
    <w:rsid w:val="4DDB5D69"/>
    <w:rsid w:val="4DE772AA"/>
    <w:rsid w:val="4DEA4D07"/>
    <w:rsid w:val="4E0E5387"/>
    <w:rsid w:val="4E1173D4"/>
    <w:rsid w:val="4E29364C"/>
    <w:rsid w:val="4E2F782F"/>
    <w:rsid w:val="4E5A4210"/>
    <w:rsid w:val="4E6974BF"/>
    <w:rsid w:val="4E787A01"/>
    <w:rsid w:val="4EC233B0"/>
    <w:rsid w:val="4EEC40C9"/>
    <w:rsid w:val="4EFD2825"/>
    <w:rsid w:val="4F061D97"/>
    <w:rsid w:val="4F123753"/>
    <w:rsid w:val="4F2D10CB"/>
    <w:rsid w:val="4F2E3DF0"/>
    <w:rsid w:val="4F3A5B38"/>
    <w:rsid w:val="4F3E0CFA"/>
    <w:rsid w:val="4F470142"/>
    <w:rsid w:val="4F4D053A"/>
    <w:rsid w:val="4F732C3A"/>
    <w:rsid w:val="4F872F0F"/>
    <w:rsid w:val="4F935CC7"/>
    <w:rsid w:val="4F94754D"/>
    <w:rsid w:val="4F991ACA"/>
    <w:rsid w:val="4FBB06AE"/>
    <w:rsid w:val="4FD013CD"/>
    <w:rsid w:val="4FD11191"/>
    <w:rsid w:val="4FD61774"/>
    <w:rsid w:val="4FDE7087"/>
    <w:rsid w:val="502257D4"/>
    <w:rsid w:val="502650F2"/>
    <w:rsid w:val="50271108"/>
    <w:rsid w:val="5038476A"/>
    <w:rsid w:val="504402B0"/>
    <w:rsid w:val="505B19B5"/>
    <w:rsid w:val="508265DD"/>
    <w:rsid w:val="508A5426"/>
    <w:rsid w:val="508F7038"/>
    <w:rsid w:val="50A8039A"/>
    <w:rsid w:val="50D20F89"/>
    <w:rsid w:val="50D81071"/>
    <w:rsid w:val="50E0375E"/>
    <w:rsid w:val="50E03B30"/>
    <w:rsid w:val="51175CF9"/>
    <w:rsid w:val="51347D9E"/>
    <w:rsid w:val="514A5DB8"/>
    <w:rsid w:val="516C1816"/>
    <w:rsid w:val="519C5DBC"/>
    <w:rsid w:val="51C25E59"/>
    <w:rsid w:val="51CE7869"/>
    <w:rsid w:val="51DB3D28"/>
    <w:rsid w:val="51E9784B"/>
    <w:rsid w:val="51F61EE5"/>
    <w:rsid w:val="51FD34D1"/>
    <w:rsid w:val="51FE517E"/>
    <w:rsid w:val="52165811"/>
    <w:rsid w:val="521D677B"/>
    <w:rsid w:val="52333078"/>
    <w:rsid w:val="523505A4"/>
    <w:rsid w:val="52432569"/>
    <w:rsid w:val="5243279B"/>
    <w:rsid w:val="525407A4"/>
    <w:rsid w:val="525634D8"/>
    <w:rsid w:val="52677C99"/>
    <w:rsid w:val="52974A83"/>
    <w:rsid w:val="529E1360"/>
    <w:rsid w:val="52AF5A16"/>
    <w:rsid w:val="52BF4876"/>
    <w:rsid w:val="52CD38B9"/>
    <w:rsid w:val="52FF2090"/>
    <w:rsid w:val="53030B39"/>
    <w:rsid w:val="53156BAB"/>
    <w:rsid w:val="531B2E10"/>
    <w:rsid w:val="53234F25"/>
    <w:rsid w:val="53235187"/>
    <w:rsid w:val="53554030"/>
    <w:rsid w:val="53606AC2"/>
    <w:rsid w:val="53642147"/>
    <w:rsid w:val="536A556D"/>
    <w:rsid w:val="53AA1B65"/>
    <w:rsid w:val="53CB0AD0"/>
    <w:rsid w:val="53CB4138"/>
    <w:rsid w:val="53CD2585"/>
    <w:rsid w:val="53DC0EAF"/>
    <w:rsid w:val="53EA3EE3"/>
    <w:rsid w:val="53EE6379"/>
    <w:rsid w:val="54134CE7"/>
    <w:rsid w:val="54196322"/>
    <w:rsid w:val="542C75D5"/>
    <w:rsid w:val="544B005D"/>
    <w:rsid w:val="54540818"/>
    <w:rsid w:val="546B2FD6"/>
    <w:rsid w:val="546C73CF"/>
    <w:rsid w:val="547E2CDD"/>
    <w:rsid w:val="54822182"/>
    <w:rsid w:val="54844989"/>
    <w:rsid w:val="549B601E"/>
    <w:rsid w:val="549D00E5"/>
    <w:rsid w:val="54E12517"/>
    <w:rsid w:val="54E67572"/>
    <w:rsid w:val="54FF3A68"/>
    <w:rsid w:val="551817BE"/>
    <w:rsid w:val="55273967"/>
    <w:rsid w:val="55363BF0"/>
    <w:rsid w:val="55616D82"/>
    <w:rsid w:val="556D7DF7"/>
    <w:rsid w:val="55767C8F"/>
    <w:rsid w:val="558629D1"/>
    <w:rsid w:val="5593192F"/>
    <w:rsid w:val="5594095E"/>
    <w:rsid w:val="55A821CE"/>
    <w:rsid w:val="55AE380F"/>
    <w:rsid w:val="55B31B69"/>
    <w:rsid w:val="55E478FB"/>
    <w:rsid w:val="55EB3534"/>
    <w:rsid w:val="560B78FD"/>
    <w:rsid w:val="560D2563"/>
    <w:rsid w:val="561C3D1F"/>
    <w:rsid w:val="56226EB8"/>
    <w:rsid w:val="566474B0"/>
    <w:rsid w:val="56C3627B"/>
    <w:rsid w:val="56FC691D"/>
    <w:rsid w:val="57145087"/>
    <w:rsid w:val="572C3E29"/>
    <w:rsid w:val="572F6919"/>
    <w:rsid w:val="574014E1"/>
    <w:rsid w:val="57465506"/>
    <w:rsid w:val="576106AB"/>
    <w:rsid w:val="57653CE1"/>
    <w:rsid w:val="5781299B"/>
    <w:rsid w:val="578C0491"/>
    <w:rsid w:val="57A21119"/>
    <w:rsid w:val="57B97896"/>
    <w:rsid w:val="57E23FB2"/>
    <w:rsid w:val="58040814"/>
    <w:rsid w:val="584E668F"/>
    <w:rsid w:val="58676472"/>
    <w:rsid w:val="58802D77"/>
    <w:rsid w:val="5881380D"/>
    <w:rsid w:val="5891732A"/>
    <w:rsid w:val="58BF17EB"/>
    <w:rsid w:val="58CA61CC"/>
    <w:rsid w:val="58D43AEF"/>
    <w:rsid w:val="58DE7ACF"/>
    <w:rsid w:val="58E12428"/>
    <w:rsid w:val="59067149"/>
    <w:rsid w:val="590E1807"/>
    <w:rsid w:val="59176B2C"/>
    <w:rsid w:val="59193BE6"/>
    <w:rsid w:val="595B2443"/>
    <w:rsid w:val="596A579E"/>
    <w:rsid w:val="596B58FD"/>
    <w:rsid w:val="59826FA2"/>
    <w:rsid w:val="598344CB"/>
    <w:rsid w:val="598F04B6"/>
    <w:rsid w:val="599852C2"/>
    <w:rsid w:val="59B45334"/>
    <w:rsid w:val="59BD6A4A"/>
    <w:rsid w:val="59CB0AA7"/>
    <w:rsid w:val="59D14F4C"/>
    <w:rsid w:val="59EF079C"/>
    <w:rsid w:val="5A321DF5"/>
    <w:rsid w:val="5A3E7211"/>
    <w:rsid w:val="5A4031E8"/>
    <w:rsid w:val="5A48574D"/>
    <w:rsid w:val="5A612572"/>
    <w:rsid w:val="5A694DBC"/>
    <w:rsid w:val="5A826E0D"/>
    <w:rsid w:val="5A950AE7"/>
    <w:rsid w:val="5AAE641D"/>
    <w:rsid w:val="5AB54110"/>
    <w:rsid w:val="5ABA78B8"/>
    <w:rsid w:val="5ACE7D1E"/>
    <w:rsid w:val="5AD633C9"/>
    <w:rsid w:val="5AE34657"/>
    <w:rsid w:val="5AE95A1D"/>
    <w:rsid w:val="5AEF2565"/>
    <w:rsid w:val="5B1B6B1B"/>
    <w:rsid w:val="5B6F7585"/>
    <w:rsid w:val="5B7123D6"/>
    <w:rsid w:val="5BD513F5"/>
    <w:rsid w:val="5BDD4971"/>
    <w:rsid w:val="5BF175A8"/>
    <w:rsid w:val="5BF22955"/>
    <w:rsid w:val="5BF4463B"/>
    <w:rsid w:val="5BFB740A"/>
    <w:rsid w:val="5C0D048A"/>
    <w:rsid w:val="5C3A7EFD"/>
    <w:rsid w:val="5C3E7181"/>
    <w:rsid w:val="5C415BA4"/>
    <w:rsid w:val="5C45488F"/>
    <w:rsid w:val="5CA3188A"/>
    <w:rsid w:val="5CA749BC"/>
    <w:rsid w:val="5CCB66A5"/>
    <w:rsid w:val="5CCE0C18"/>
    <w:rsid w:val="5CDE7166"/>
    <w:rsid w:val="5CF60CCE"/>
    <w:rsid w:val="5CFB4F03"/>
    <w:rsid w:val="5D075E65"/>
    <w:rsid w:val="5D0A24BA"/>
    <w:rsid w:val="5D1E376E"/>
    <w:rsid w:val="5D365DFE"/>
    <w:rsid w:val="5D3A56EA"/>
    <w:rsid w:val="5D5E085C"/>
    <w:rsid w:val="5D67132E"/>
    <w:rsid w:val="5DD9330C"/>
    <w:rsid w:val="5DEE1AA6"/>
    <w:rsid w:val="5DF262EC"/>
    <w:rsid w:val="5E2E3A73"/>
    <w:rsid w:val="5E303F4F"/>
    <w:rsid w:val="5E3B6962"/>
    <w:rsid w:val="5E4D770B"/>
    <w:rsid w:val="5E7B4C14"/>
    <w:rsid w:val="5EA339FA"/>
    <w:rsid w:val="5EB034FC"/>
    <w:rsid w:val="5EBE4F69"/>
    <w:rsid w:val="5EDF09D6"/>
    <w:rsid w:val="5EFC2675"/>
    <w:rsid w:val="5F17696C"/>
    <w:rsid w:val="5F413266"/>
    <w:rsid w:val="5F54119F"/>
    <w:rsid w:val="5F562FE0"/>
    <w:rsid w:val="5F57085D"/>
    <w:rsid w:val="5F752103"/>
    <w:rsid w:val="5F8A7006"/>
    <w:rsid w:val="5F9536A5"/>
    <w:rsid w:val="5F9874D1"/>
    <w:rsid w:val="5F9A43D9"/>
    <w:rsid w:val="5FAA5B6F"/>
    <w:rsid w:val="5FC13031"/>
    <w:rsid w:val="5FC417F2"/>
    <w:rsid w:val="5FCD5059"/>
    <w:rsid w:val="5FD77E33"/>
    <w:rsid w:val="5FF47419"/>
    <w:rsid w:val="5FF556EB"/>
    <w:rsid w:val="5FF95CAF"/>
    <w:rsid w:val="5FFC3EE2"/>
    <w:rsid w:val="602F63AC"/>
    <w:rsid w:val="603D28D7"/>
    <w:rsid w:val="60402A67"/>
    <w:rsid w:val="604B54C6"/>
    <w:rsid w:val="60523079"/>
    <w:rsid w:val="60575026"/>
    <w:rsid w:val="605920CE"/>
    <w:rsid w:val="606B7EC2"/>
    <w:rsid w:val="60735632"/>
    <w:rsid w:val="60847898"/>
    <w:rsid w:val="608A6652"/>
    <w:rsid w:val="609B6D7F"/>
    <w:rsid w:val="60A31F13"/>
    <w:rsid w:val="60BC3CFE"/>
    <w:rsid w:val="60C60FE9"/>
    <w:rsid w:val="60CD0607"/>
    <w:rsid w:val="60ED21BF"/>
    <w:rsid w:val="60F87E20"/>
    <w:rsid w:val="61140F3C"/>
    <w:rsid w:val="612D346D"/>
    <w:rsid w:val="614424FC"/>
    <w:rsid w:val="614D5D4F"/>
    <w:rsid w:val="6150035F"/>
    <w:rsid w:val="61606DA3"/>
    <w:rsid w:val="61631609"/>
    <w:rsid w:val="61CB3C31"/>
    <w:rsid w:val="61CF486B"/>
    <w:rsid w:val="61F44807"/>
    <w:rsid w:val="61FF6E2B"/>
    <w:rsid w:val="620138BA"/>
    <w:rsid w:val="62034428"/>
    <w:rsid w:val="6245338D"/>
    <w:rsid w:val="62A139BE"/>
    <w:rsid w:val="62BE0D68"/>
    <w:rsid w:val="62DB2A11"/>
    <w:rsid w:val="62F2324F"/>
    <w:rsid w:val="62FA1522"/>
    <w:rsid w:val="62FB477B"/>
    <w:rsid w:val="634A02B7"/>
    <w:rsid w:val="636A4C1E"/>
    <w:rsid w:val="63B342E1"/>
    <w:rsid w:val="63BF317B"/>
    <w:rsid w:val="63C93ABB"/>
    <w:rsid w:val="64020D71"/>
    <w:rsid w:val="6425633B"/>
    <w:rsid w:val="644F426E"/>
    <w:rsid w:val="64597139"/>
    <w:rsid w:val="646B13F3"/>
    <w:rsid w:val="64757F5D"/>
    <w:rsid w:val="649E061A"/>
    <w:rsid w:val="64AD0BAC"/>
    <w:rsid w:val="64B2654D"/>
    <w:rsid w:val="64B81892"/>
    <w:rsid w:val="64CA62A1"/>
    <w:rsid w:val="64CD1109"/>
    <w:rsid w:val="64D56D47"/>
    <w:rsid w:val="64E875EA"/>
    <w:rsid w:val="64EB310B"/>
    <w:rsid w:val="64F62495"/>
    <w:rsid w:val="65114274"/>
    <w:rsid w:val="6513024A"/>
    <w:rsid w:val="6533329D"/>
    <w:rsid w:val="654A79B7"/>
    <w:rsid w:val="65702EBB"/>
    <w:rsid w:val="659B5627"/>
    <w:rsid w:val="659D7B44"/>
    <w:rsid w:val="65B05E35"/>
    <w:rsid w:val="65CD4E6A"/>
    <w:rsid w:val="65D558FA"/>
    <w:rsid w:val="65EF133F"/>
    <w:rsid w:val="66144DA1"/>
    <w:rsid w:val="663B5532"/>
    <w:rsid w:val="6679418C"/>
    <w:rsid w:val="66865A63"/>
    <w:rsid w:val="66897673"/>
    <w:rsid w:val="66AF507D"/>
    <w:rsid w:val="66CE2D51"/>
    <w:rsid w:val="66D42C76"/>
    <w:rsid w:val="66EC0FD9"/>
    <w:rsid w:val="66EC2097"/>
    <w:rsid w:val="66F67EB6"/>
    <w:rsid w:val="67057298"/>
    <w:rsid w:val="670636C3"/>
    <w:rsid w:val="670B0C53"/>
    <w:rsid w:val="671425A7"/>
    <w:rsid w:val="67226CC6"/>
    <w:rsid w:val="67511454"/>
    <w:rsid w:val="67546B6B"/>
    <w:rsid w:val="67664AD5"/>
    <w:rsid w:val="678A2A95"/>
    <w:rsid w:val="67A568B3"/>
    <w:rsid w:val="67C15F51"/>
    <w:rsid w:val="67D5269B"/>
    <w:rsid w:val="67DB4838"/>
    <w:rsid w:val="67DD690E"/>
    <w:rsid w:val="67DF476E"/>
    <w:rsid w:val="67E3620B"/>
    <w:rsid w:val="681B4E95"/>
    <w:rsid w:val="68413B87"/>
    <w:rsid w:val="68606D91"/>
    <w:rsid w:val="68A02F68"/>
    <w:rsid w:val="68B87840"/>
    <w:rsid w:val="68BE0292"/>
    <w:rsid w:val="68C72BDD"/>
    <w:rsid w:val="68E74DF9"/>
    <w:rsid w:val="68F15BB5"/>
    <w:rsid w:val="692C6CE9"/>
    <w:rsid w:val="69371BC8"/>
    <w:rsid w:val="6947005D"/>
    <w:rsid w:val="694E5218"/>
    <w:rsid w:val="69600B90"/>
    <w:rsid w:val="69684E07"/>
    <w:rsid w:val="699229F4"/>
    <w:rsid w:val="699A46E0"/>
    <w:rsid w:val="69AE0C8B"/>
    <w:rsid w:val="69C641A2"/>
    <w:rsid w:val="6A001B40"/>
    <w:rsid w:val="6A226E7E"/>
    <w:rsid w:val="6A2C2ED5"/>
    <w:rsid w:val="6A313463"/>
    <w:rsid w:val="6A451433"/>
    <w:rsid w:val="6A481A86"/>
    <w:rsid w:val="6A6F0DF4"/>
    <w:rsid w:val="6A83619F"/>
    <w:rsid w:val="6A9F6F76"/>
    <w:rsid w:val="6AC10217"/>
    <w:rsid w:val="6AF50329"/>
    <w:rsid w:val="6B3E5AFB"/>
    <w:rsid w:val="6B430212"/>
    <w:rsid w:val="6B4B6842"/>
    <w:rsid w:val="6B57102E"/>
    <w:rsid w:val="6B685291"/>
    <w:rsid w:val="6B7779FE"/>
    <w:rsid w:val="6B8B74E4"/>
    <w:rsid w:val="6BB127D3"/>
    <w:rsid w:val="6BB33884"/>
    <w:rsid w:val="6BB649E6"/>
    <w:rsid w:val="6BB6796B"/>
    <w:rsid w:val="6BB735B5"/>
    <w:rsid w:val="6BCC14D9"/>
    <w:rsid w:val="6BD300F6"/>
    <w:rsid w:val="6BDD1B63"/>
    <w:rsid w:val="6C281B5E"/>
    <w:rsid w:val="6C38600A"/>
    <w:rsid w:val="6C5336F9"/>
    <w:rsid w:val="6C563F3C"/>
    <w:rsid w:val="6C5F54AE"/>
    <w:rsid w:val="6C774F51"/>
    <w:rsid w:val="6C7A5144"/>
    <w:rsid w:val="6C7F6831"/>
    <w:rsid w:val="6C885D9D"/>
    <w:rsid w:val="6C8D0D55"/>
    <w:rsid w:val="6C906984"/>
    <w:rsid w:val="6CA333D1"/>
    <w:rsid w:val="6CBD3D5C"/>
    <w:rsid w:val="6CC73764"/>
    <w:rsid w:val="6CC7644B"/>
    <w:rsid w:val="6CFF640E"/>
    <w:rsid w:val="6D0F12ED"/>
    <w:rsid w:val="6D101484"/>
    <w:rsid w:val="6D2D0937"/>
    <w:rsid w:val="6D341737"/>
    <w:rsid w:val="6D403997"/>
    <w:rsid w:val="6D430171"/>
    <w:rsid w:val="6D4B2F09"/>
    <w:rsid w:val="6D5B2157"/>
    <w:rsid w:val="6D61454C"/>
    <w:rsid w:val="6D8463F6"/>
    <w:rsid w:val="6D8C2251"/>
    <w:rsid w:val="6D9D6A5D"/>
    <w:rsid w:val="6DA32FE8"/>
    <w:rsid w:val="6DB26CA3"/>
    <w:rsid w:val="6DCE3B94"/>
    <w:rsid w:val="6DEB1E30"/>
    <w:rsid w:val="6DFB2194"/>
    <w:rsid w:val="6E032C8A"/>
    <w:rsid w:val="6E0868C0"/>
    <w:rsid w:val="6E1B663D"/>
    <w:rsid w:val="6E353BFE"/>
    <w:rsid w:val="6E3901AF"/>
    <w:rsid w:val="6E4277B0"/>
    <w:rsid w:val="6E441232"/>
    <w:rsid w:val="6E672BAA"/>
    <w:rsid w:val="6E7078DF"/>
    <w:rsid w:val="6E7824F6"/>
    <w:rsid w:val="6E9C69E8"/>
    <w:rsid w:val="6E9F1C2D"/>
    <w:rsid w:val="6EA3393E"/>
    <w:rsid w:val="6EA60DBE"/>
    <w:rsid w:val="6EB73479"/>
    <w:rsid w:val="6EDA16D7"/>
    <w:rsid w:val="6F0857B2"/>
    <w:rsid w:val="6F186965"/>
    <w:rsid w:val="6F1F17F1"/>
    <w:rsid w:val="6F33038D"/>
    <w:rsid w:val="6F3A1D64"/>
    <w:rsid w:val="6F4B4129"/>
    <w:rsid w:val="6F54485A"/>
    <w:rsid w:val="6F597F3C"/>
    <w:rsid w:val="6F7543B7"/>
    <w:rsid w:val="6F7A6E50"/>
    <w:rsid w:val="6F7C592E"/>
    <w:rsid w:val="6F7E17F9"/>
    <w:rsid w:val="6F9C4090"/>
    <w:rsid w:val="6FAF3760"/>
    <w:rsid w:val="6FBA61E7"/>
    <w:rsid w:val="6FEF786E"/>
    <w:rsid w:val="6FFF42C6"/>
    <w:rsid w:val="70213B98"/>
    <w:rsid w:val="703601B1"/>
    <w:rsid w:val="703D180C"/>
    <w:rsid w:val="709E4A13"/>
    <w:rsid w:val="70BC7FF6"/>
    <w:rsid w:val="70C566B1"/>
    <w:rsid w:val="70FC28AC"/>
    <w:rsid w:val="71052CB7"/>
    <w:rsid w:val="710963D8"/>
    <w:rsid w:val="71204014"/>
    <w:rsid w:val="71301115"/>
    <w:rsid w:val="714A1AF5"/>
    <w:rsid w:val="719B3712"/>
    <w:rsid w:val="71A226D1"/>
    <w:rsid w:val="71C079A2"/>
    <w:rsid w:val="71C56CC9"/>
    <w:rsid w:val="71CE023C"/>
    <w:rsid w:val="71D67A94"/>
    <w:rsid w:val="72157FF1"/>
    <w:rsid w:val="72282AB9"/>
    <w:rsid w:val="722C61AA"/>
    <w:rsid w:val="72386DBF"/>
    <w:rsid w:val="7239706F"/>
    <w:rsid w:val="724350BB"/>
    <w:rsid w:val="72477EC5"/>
    <w:rsid w:val="724F3AC9"/>
    <w:rsid w:val="7254691B"/>
    <w:rsid w:val="725626B5"/>
    <w:rsid w:val="725D3C2F"/>
    <w:rsid w:val="728B13D9"/>
    <w:rsid w:val="7295740A"/>
    <w:rsid w:val="72BB61D4"/>
    <w:rsid w:val="72BC12DD"/>
    <w:rsid w:val="72D06186"/>
    <w:rsid w:val="72EF757A"/>
    <w:rsid w:val="72FE086E"/>
    <w:rsid w:val="7313512E"/>
    <w:rsid w:val="73184967"/>
    <w:rsid w:val="7329622E"/>
    <w:rsid w:val="732E100B"/>
    <w:rsid w:val="73350AB3"/>
    <w:rsid w:val="734A000A"/>
    <w:rsid w:val="73614CCD"/>
    <w:rsid w:val="73616533"/>
    <w:rsid w:val="7368047F"/>
    <w:rsid w:val="737E69D7"/>
    <w:rsid w:val="738304EE"/>
    <w:rsid w:val="73AF0048"/>
    <w:rsid w:val="73B12270"/>
    <w:rsid w:val="73B803BE"/>
    <w:rsid w:val="73C272FB"/>
    <w:rsid w:val="73C41C5D"/>
    <w:rsid w:val="73C9016F"/>
    <w:rsid w:val="73DE7B02"/>
    <w:rsid w:val="73ED79B8"/>
    <w:rsid w:val="73FA0F98"/>
    <w:rsid w:val="73FD6B81"/>
    <w:rsid w:val="73FE64BC"/>
    <w:rsid w:val="74054B7D"/>
    <w:rsid w:val="740C43BD"/>
    <w:rsid w:val="742F14FC"/>
    <w:rsid w:val="745D3709"/>
    <w:rsid w:val="746F0B7C"/>
    <w:rsid w:val="747B7F8D"/>
    <w:rsid w:val="74927532"/>
    <w:rsid w:val="749A17B1"/>
    <w:rsid w:val="74A80B5B"/>
    <w:rsid w:val="74DB5337"/>
    <w:rsid w:val="757A7ECA"/>
    <w:rsid w:val="75836B68"/>
    <w:rsid w:val="758A7DC5"/>
    <w:rsid w:val="758C51E2"/>
    <w:rsid w:val="75A54A3A"/>
    <w:rsid w:val="75AE3808"/>
    <w:rsid w:val="75B053D5"/>
    <w:rsid w:val="75BE2980"/>
    <w:rsid w:val="75C9303D"/>
    <w:rsid w:val="75E945D2"/>
    <w:rsid w:val="75EE5E18"/>
    <w:rsid w:val="75F8237D"/>
    <w:rsid w:val="7603153F"/>
    <w:rsid w:val="76477765"/>
    <w:rsid w:val="765622C7"/>
    <w:rsid w:val="765A19E0"/>
    <w:rsid w:val="7670515B"/>
    <w:rsid w:val="76A841A5"/>
    <w:rsid w:val="76C206A6"/>
    <w:rsid w:val="76E046F2"/>
    <w:rsid w:val="76EB64AC"/>
    <w:rsid w:val="770701FC"/>
    <w:rsid w:val="77110413"/>
    <w:rsid w:val="772A0EC9"/>
    <w:rsid w:val="77630CED"/>
    <w:rsid w:val="77646B6C"/>
    <w:rsid w:val="77651151"/>
    <w:rsid w:val="77840C48"/>
    <w:rsid w:val="77925BC9"/>
    <w:rsid w:val="779719C3"/>
    <w:rsid w:val="77AE2529"/>
    <w:rsid w:val="77B45CA0"/>
    <w:rsid w:val="77B91579"/>
    <w:rsid w:val="77C43378"/>
    <w:rsid w:val="77CC1463"/>
    <w:rsid w:val="77FB0514"/>
    <w:rsid w:val="7814773E"/>
    <w:rsid w:val="781E3562"/>
    <w:rsid w:val="78465124"/>
    <w:rsid w:val="78473102"/>
    <w:rsid w:val="785444CA"/>
    <w:rsid w:val="785C60F1"/>
    <w:rsid w:val="78647EDA"/>
    <w:rsid w:val="786F12ED"/>
    <w:rsid w:val="78774AC0"/>
    <w:rsid w:val="78842285"/>
    <w:rsid w:val="78B062F4"/>
    <w:rsid w:val="78E55334"/>
    <w:rsid w:val="791A3098"/>
    <w:rsid w:val="79283AC0"/>
    <w:rsid w:val="79290DFC"/>
    <w:rsid w:val="793A02C0"/>
    <w:rsid w:val="793E2401"/>
    <w:rsid w:val="79426551"/>
    <w:rsid w:val="79467362"/>
    <w:rsid w:val="794A2B52"/>
    <w:rsid w:val="79562E3D"/>
    <w:rsid w:val="79695A5B"/>
    <w:rsid w:val="79710C8C"/>
    <w:rsid w:val="79934FA5"/>
    <w:rsid w:val="79985F46"/>
    <w:rsid w:val="79C82E17"/>
    <w:rsid w:val="79D53065"/>
    <w:rsid w:val="79DF2D86"/>
    <w:rsid w:val="79E653CC"/>
    <w:rsid w:val="79F406DF"/>
    <w:rsid w:val="79F9685A"/>
    <w:rsid w:val="7A150C0A"/>
    <w:rsid w:val="7A607E83"/>
    <w:rsid w:val="7A6A2038"/>
    <w:rsid w:val="7A6C6CC6"/>
    <w:rsid w:val="7A7B503B"/>
    <w:rsid w:val="7A96350A"/>
    <w:rsid w:val="7AA87509"/>
    <w:rsid w:val="7AC10D64"/>
    <w:rsid w:val="7AFD48DA"/>
    <w:rsid w:val="7B01625C"/>
    <w:rsid w:val="7B106CB7"/>
    <w:rsid w:val="7B210841"/>
    <w:rsid w:val="7B2F3BEE"/>
    <w:rsid w:val="7B4D3C62"/>
    <w:rsid w:val="7B4E4852"/>
    <w:rsid w:val="7B4F42A2"/>
    <w:rsid w:val="7B5D3E7C"/>
    <w:rsid w:val="7B8E38F5"/>
    <w:rsid w:val="7BA87F49"/>
    <w:rsid w:val="7BC2281B"/>
    <w:rsid w:val="7BE0672D"/>
    <w:rsid w:val="7BFD694F"/>
    <w:rsid w:val="7C3170D9"/>
    <w:rsid w:val="7C356544"/>
    <w:rsid w:val="7C431520"/>
    <w:rsid w:val="7C443225"/>
    <w:rsid w:val="7C630CAF"/>
    <w:rsid w:val="7C723672"/>
    <w:rsid w:val="7C7C6C82"/>
    <w:rsid w:val="7C8A5FD9"/>
    <w:rsid w:val="7C8D5623"/>
    <w:rsid w:val="7C923BDB"/>
    <w:rsid w:val="7CAA339A"/>
    <w:rsid w:val="7CD12DBB"/>
    <w:rsid w:val="7CD178D4"/>
    <w:rsid w:val="7CE50E62"/>
    <w:rsid w:val="7CE5320A"/>
    <w:rsid w:val="7CF0771A"/>
    <w:rsid w:val="7D0464B0"/>
    <w:rsid w:val="7D0979D0"/>
    <w:rsid w:val="7D1B7E7E"/>
    <w:rsid w:val="7D1D1412"/>
    <w:rsid w:val="7D244B52"/>
    <w:rsid w:val="7D3267F2"/>
    <w:rsid w:val="7D4A1844"/>
    <w:rsid w:val="7D653EA0"/>
    <w:rsid w:val="7DB226F8"/>
    <w:rsid w:val="7DBA59B0"/>
    <w:rsid w:val="7DC870E3"/>
    <w:rsid w:val="7DE05C88"/>
    <w:rsid w:val="7DE37106"/>
    <w:rsid w:val="7DF4524B"/>
    <w:rsid w:val="7E05772E"/>
    <w:rsid w:val="7E24750A"/>
    <w:rsid w:val="7E336444"/>
    <w:rsid w:val="7E375C9C"/>
    <w:rsid w:val="7E466270"/>
    <w:rsid w:val="7E4A2A05"/>
    <w:rsid w:val="7E683633"/>
    <w:rsid w:val="7E773DCD"/>
    <w:rsid w:val="7E835B0A"/>
    <w:rsid w:val="7E8705B3"/>
    <w:rsid w:val="7EA87957"/>
    <w:rsid w:val="7ED347C1"/>
    <w:rsid w:val="7EDE5074"/>
    <w:rsid w:val="7EEC5FDA"/>
    <w:rsid w:val="7EEE72E2"/>
    <w:rsid w:val="7EF57800"/>
    <w:rsid w:val="7F0300AD"/>
    <w:rsid w:val="7F181334"/>
    <w:rsid w:val="7F187710"/>
    <w:rsid w:val="7F3830DD"/>
    <w:rsid w:val="7F593F62"/>
    <w:rsid w:val="7F59593B"/>
    <w:rsid w:val="7F7B467D"/>
    <w:rsid w:val="7FA5457B"/>
    <w:rsid w:val="7FAC2E4B"/>
    <w:rsid w:val="7FBFF8D7"/>
    <w:rsid w:val="7FC27ED7"/>
    <w:rsid w:val="7FC75836"/>
    <w:rsid w:val="7FCD4B1A"/>
    <w:rsid w:val="7FD76248"/>
    <w:rsid w:val="7FDA08BE"/>
    <w:rsid w:val="7FE80266"/>
    <w:rsid w:val="7FEF01E0"/>
    <w:rsid w:val="7FFF1824"/>
    <w:rsid w:val="F7F5D0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ocked="1"/>
    <w:lsdException w:qFormat="1" w:unhideWhenUsed="0" w:uiPriority="99" w:name="toc 2" w:locked="1"/>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qFormat="1" w:unhideWhenUsed="0" w:uiPriority="99" w:name="annotation text"/>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0" w:semiHidden="0"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99" w:semiHidden="0" w:name="Emphasis"/>
    <w:lsdException w:qFormat="1" w:unhideWhenUsed="0"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qFormat="1" w:uiPriority="99" w:name="HTML Cite" w:locked="1"/>
    <w:lsdException w:qFormat="1" w:uiPriority="99" w:name="HTML Code" w:locked="1"/>
    <w:lsdException w:qFormat="1" w:uiPriority="99" w:name="HTML Definition" w:locked="1"/>
    <w:lsdException w:qFormat="1" w:uiPriority="99" w:name="HTML Keyboard" w:locked="1"/>
    <w:lsdException w:uiPriority="99" w:name="HTML Preformatted" w:locked="1"/>
    <w:lsdException w:qFormat="1" w:uiPriority="99" w:name="HTML Sample" w:locked="1"/>
    <w:lsdException w:uiPriority="99" w:name="HTML Typewriter" w:locked="1"/>
    <w:lsdException w:qFormat="1"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color w:val="000000"/>
      <w:kern w:val="2"/>
      <w:sz w:val="28"/>
      <w:szCs w:val="22"/>
      <w:lang w:val="en-US" w:eastAsia="zh-CN" w:bidi="ar-SA"/>
    </w:rPr>
  </w:style>
  <w:style w:type="paragraph" w:styleId="3">
    <w:name w:val="heading 2"/>
    <w:basedOn w:val="1"/>
    <w:next w:val="1"/>
    <w:link w:val="31"/>
    <w:qFormat/>
    <w:uiPriority w:val="99"/>
    <w:pPr>
      <w:widowControl/>
      <w:spacing w:before="100" w:beforeAutospacing="1" w:after="100" w:afterAutospacing="1"/>
      <w:jc w:val="left"/>
      <w:outlineLvl w:val="1"/>
    </w:pPr>
    <w:rPr>
      <w:rFonts w:ascii="Cambria" w:hAnsi="Cambria"/>
      <w:b/>
      <w:bCs/>
      <w:kern w:val="0"/>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locked/>
    <w:uiPriority w:val="0"/>
    <w:pPr>
      <w:spacing w:before="120"/>
    </w:pPr>
    <w:rPr>
      <w:rFonts w:ascii="Arial" w:hAnsi="Arial"/>
      <w:b/>
      <w:bCs/>
    </w:rPr>
  </w:style>
  <w:style w:type="paragraph" w:styleId="4">
    <w:name w:val="Normal Indent"/>
    <w:basedOn w:val="1"/>
    <w:next w:val="1"/>
    <w:qFormat/>
    <w:uiPriority w:val="99"/>
    <w:pPr>
      <w:autoSpaceDE w:val="0"/>
      <w:autoSpaceDN w:val="0"/>
      <w:adjustRightInd w:val="0"/>
      <w:snapToGrid w:val="0"/>
      <w:spacing w:line="520" w:lineRule="exact"/>
      <w:ind w:firstLine="420" w:firstLineChars="200"/>
    </w:pPr>
    <w:rPr>
      <w:rFonts w:ascii="宋体" w:hAnsi="宋体" w:cs="宋体"/>
      <w:sz w:val="22"/>
      <w:lang w:val="zh-CN"/>
    </w:rPr>
  </w:style>
  <w:style w:type="paragraph" w:styleId="5">
    <w:name w:val="Document Map"/>
    <w:basedOn w:val="1"/>
    <w:link w:val="34"/>
    <w:semiHidden/>
    <w:qFormat/>
    <w:locked/>
    <w:uiPriority w:val="99"/>
    <w:pPr>
      <w:shd w:val="clear" w:color="auto" w:fill="000080"/>
    </w:pPr>
  </w:style>
  <w:style w:type="paragraph" w:styleId="6">
    <w:name w:val="annotation text"/>
    <w:basedOn w:val="1"/>
    <w:link w:val="35"/>
    <w:semiHidden/>
    <w:qFormat/>
    <w:uiPriority w:val="99"/>
    <w:pPr>
      <w:jc w:val="left"/>
    </w:pPr>
    <w:rPr>
      <w:kern w:val="0"/>
      <w:szCs w:val="20"/>
    </w:rPr>
  </w:style>
  <w:style w:type="paragraph" w:styleId="7">
    <w:name w:val="Body Text Indent"/>
    <w:basedOn w:val="1"/>
    <w:next w:val="4"/>
    <w:link w:val="32"/>
    <w:qFormat/>
    <w:uiPriority w:val="99"/>
    <w:pPr>
      <w:ind w:left="420" w:leftChars="200"/>
    </w:pPr>
  </w:style>
  <w:style w:type="paragraph" w:styleId="8">
    <w:name w:val="Balloon Text"/>
    <w:basedOn w:val="1"/>
    <w:link w:val="36"/>
    <w:semiHidden/>
    <w:qFormat/>
    <w:uiPriority w:val="99"/>
    <w:rPr>
      <w:kern w:val="0"/>
      <w:sz w:val="2"/>
    </w:rPr>
  </w:style>
  <w:style w:type="paragraph" w:styleId="9">
    <w:name w:val="footer"/>
    <w:basedOn w:val="1"/>
    <w:link w:val="37"/>
    <w:semiHidden/>
    <w:qFormat/>
    <w:uiPriority w:val="99"/>
    <w:pPr>
      <w:tabs>
        <w:tab w:val="center" w:pos="4153"/>
        <w:tab w:val="right" w:pos="8306"/>
      </w:tabs>
      <w:snapToGrid w:val="0"/>
      <w:jc w:val="left"/>
    </w:pPr>
    <w:rPr>
      <w:sz w:val="18"/>
    </w:rPr>
  </w:style>
  <w:style w:type="paragraph" w:styleId="10">
    <w:name w:val="header"/>
    <w:basedOn w:val="1"/>
    <w:link w:val="38"/>
    <w:semiHidden/>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locked/>
    <w:uiPriority w:val="99"/>
  </w:style>
  <w:style w:type="paragraph" w:styleId="12">
    <w:name w:val="toc 2"/>
    <w:basedOn w:val="1"/>
    <w:next w:val="1"/>
    <w:semiHidden/>
    <w:qFormat/>
    <w:locked/>
    <w:uiPriority w:val="99"/>
    <w:pPr>
      <w:ind w:left="420" w:leftChars="200"/>
    </w:pPr>
  </w:style>
  <w:style w:type="paragraph" w:styleId="13">
    <w:name w:val="Normal (Web)"/>
    <w:basedOn w:val="1"/>
    <w:qFormat/>
    <w:uiPriority w:val="99"/>
    <w:pPr>
      <w:spacing w:beforeAutospacing="1" w:afterAutospacing="1"/>
      <w:jc w:val="left"/>
    </w:pPr>
    <w:rPr>
      <w:kern w:val="0"/>
      <w:sz w:val="24"/>
    </w:rPr>
  </w:style>
  <w:style w:type="paragraph" w:styleId="14">
    <w:name w:val="annotation subject"/>
    <w:basedOn w:val="6"/>
    <w:next w:val="6"/>
    <w:link w:val="39"/>
    <w:semiHidden/>
    <w:qFormat/>
    <w:uiPriority w:val="99"/>
    <w:rPr>
      <w:b/>
      <w:bCs/>
    </w:rPr>
  </w:style>
  <w:style w:type="paragraph" w:styleId="15">
    <w:name w:val="Body Text First Indent 2"/>
    <w:basedOn w:val="7"/>
    <w:link w:val="33"/>
    <w:qFormat/>
    <w:uiPriority w:val="99"/>
    <w:pPr>
      <w:spacing w:line="300" w:lineRule="auto"/>
      <w:ind w:firstLine="420" w:firstLineChars="200"/>
    </w:pPr>
    <w:rPr>
      <w:szCs w:val="28"/>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qFormat/>
    <w:uiPriority w:val="99"/>
    <w:rPr>
      <w:rFonts w:cs="Times New Roman"/>
    </w:rPr>
  </w:style>
  <w:style w:type="character" w:styleId="21">
    <w:name w:val="FollowedHyperlink"/>
    <w:qFormat/>
    <w:uiPriority w:val="99"/>
    <w:rPr>
      <w:rFonts w:cs="Times New Roman"/>
      <w:color w:val="000000"/>
      <w:u w:val="none"/>
    </w:rPr>
  </w:style>
  <w:style w:type="character" w:styleId="22">
    <w:name w:val="Emphasis"/>
    <w:qFormat/>
    <w:uiPriority w:val="99"/>
    <w:rPr>
      <w:rFonts w:cs="Times New Roman"/>
    </w:rPr>
  </w:style>
  <w:style w:type="character" w:styleId="23">
    <w:name w:val="HTML Definition"/>
    <w:basedOn w:val="18"/>
    <w:semiHidden/>
    <w:unhideWhenUsed/>
    <w:qFormat/>
    <w:locked/>
    <w:uiPriority w:val="99"/>
  </w:style>
  <w:style w:type="character" w:styleId="24">
    <w:name w:val="HTML Variable"/>
    <w:basedOn w:val="18"/>
    <w:semiHidden/>
    <w:unhideWhenUsed/>
    <w:qFormat/>
    <w:locked/>
    <w:uiPriority w:val="99"/>
  </w:style>
  <w:style w:type="character" w:styleId="25">
    <w:name w:val="Hyperlink"/>
    <w:qFormat/>
    <w:uiPriority w:val="99"/>
    <w:rPr>
      <w:rFonts w:cs="Times New Roman"/>
      <w:color w:val="000000"/>
      <w:u w:val="none"/>
    </w:rPr>
  </w:style>
  <w:style w:type="character" w:styleId="26">
    <w:name w:val="HTML Code"/>
    <w:basedOn w:val="18"/>
    <w:semiHidden/>
    <w:unhideWhenUsed/>
    <w:qFormat/>
    <w:locked/>
    <w:uiPriority w:val="99"/>
    <w:rPr>
      <w:rFonts w:hint="default" w:ascii="serif" w:hAnsi="serif" w:eastAsia="serif" w:cs="serif"/>
      <w:sz w:val="21"/>
      <w:szCs w:val="21"/>
    </w:rPr>
  </w:style>
  <w:style w:type="character" w:styleId="27">
    <w:name w:val="annotation reference"/>
    <w:semiHidden/>
    <w:qFormat/>
    <w:uiPriority w:val="99"/>
    <w:rPr>
      <w:rFonts w:cs="Times New Roman"/>
      <w:sz w:val="21"/>
    </w:rPr>
  </w:style>
  <w:style w:type="character" w:styleId="28">
    <w:name w:val="HTML Cite"/>
    <w:basedOn w:val="18"/>
    <w:semiHidden/>
    <w:unhideWhenUsed/>
    <w:qFormat/>
    <w:locked/>
    <w:uiPriority w:val="99"/>
  </w:style>
  <w:style w:type="character" w:styleId="29">
    <w:name w:val="HTML Keyboard"/>
    <w:basedOn w:val="18"/>
    <w:semiHidden/>
    <w:unhideWhenUsed/>
    <w:qFormat/>
    <w:locked/>
    <w:uiPriority w:val="99"/>
    <w:rPr>
      <w:rFonts w:ascii="serif" w:hAnsi="serif" w:eastAsia="serif" w:cs="serif"/>
      <w:sz w:val="21"/>
      <w:szCs w:val="21"/>
    </w:rPr>
  </w:style>
  <w:style w:type="character" w:styleId="30">
    <w:name w:val="HTML Sample"/>
    <w:basedOn w:val="18"/>
    <w:semiHidden/>
    <w:unhideWhenUsed/>
    <w:qFormat/>
    <w:locked/>
    <w:uiPriority w:val="99"/>
    <w:rPr>
      <w:rFonts w:hint="default" w:ascii="serif" w:hAnsi="serif" w:eastAsia="serif" w:cs="serif"/>
      <w:sz w:val="21"/>
      <w:szCs w:val="21"/>
    </w:rPr>
  </w:style>
  <w:style w:type="character" w:customStyle="1" w:styleId="31">
    <w:name w:val="标题 2 字符"/>
    <w:link w:val="3"/>
    <w:semiHidden/>
    <w:qFormat/>
    <w:locked/>
    <w:uiPriority w:val="99"/>
    <w:rPr>
      <w:rFonts w:ascii="Cambria" w:hAnsi="Cambria" w:eastAsia="宋体" w:cs="Times New Roman"/>
      <w:b/>
      <w:color w:val="000000"/>
      <w:sz w:val="32"/>
    </w:rPr>
  </w:style>
  <w:style w:type="character" w:customStyle="1" w:styleId="32">
    <w:name w:val="正文文本缩进 字符"/>
    <w:link w:val="7"/>
    <w:semiHidden/>
    <w:qFormat/>
    <w:locked/>
    <w:uiPriority w:val="99"/>
    <w:rPr>
      <w:rFonts w:cs="Times New Roman"/>
      <w:color w:val="000000"/>
      <w:sz w:val="28"/>
    </w:rPr>
  </w:style>
  <w:style w:type="character" w:customStyle="1" w:styleId="33">
    <w:name w:val="正文文本首行缩进 2 字符"/>
    <w:basedOn w:val="32"/>
    <w:link w:val="15"/>
    <w:semiHidden/>
    <w:qFormat/>
    <w:locked/>
    <w:uiPriority w:val="99"/>
    <w:rPr>
      <w:rFonts w:cs="Times New Roman"/>
      <w:color w:val="000000"/>
      <w:sz w:val="28"/>
    </w:rPr>
  </w:style>
  <w:style w:type="character" w:customStyle="1" w:styleId="34">
    <w:name w:val="文档结构图 字符"/>
    <w:link w:val="5"/>
    <w:semiHidden/>
    <w:qFormat/>
    <w:locked/>
    <w:uiPriority w:val="99"/>
    <w:rPr>
      <w:rFonts w:cs="Times New Roman"/>
      <w:color w:val="000000"/>
      <w:sz w:val="2"/>
    </w:rPr>
  </w:style>
  <w:style w:type="character" w:customStyle="1" w:styleId="35">
    <w:name w:val="批注文字 字符"/>
    <w:link w:val="6"/>
    <w:semiHidden/>
    <w:qFormat/>
    <w:locked/>
    <w:uiPriority w:val="99"/>
    <w:rPr>
      <w:rFonts w:cs="Times New Roman"/>
      <w:color w:val="000000"/>
      <w:sz w:val="28"/>
    </w:rPr>
  </w:style>
  <w:style w:type="character" w:customStyle="1" w:styleId="36">
    <w:name w:val="批注框文本 字符"/>
    <w:link w:val="8"/>
    <w:semiHidden/>
    <w:qFormat/>
    <w:locked/>
    <w:uiPriority w:val="99"/>
    <w:rPr>
      <w:rFonts w:cs="Times New Roman"/>
      <w:color w:val="000000"/>
      <w:sz w:val="2"/>
    </w:rPr>
  </w:style>
  <w:style w:type="character" w:customStyle="1" w:styleId="37">
    <w:name w:val="页脚 字符"/>
    <w:link w:val="9"/>
    <w:semiHidden/>
    <w:qFormat/>
    <w:locked/>
    <w:uiPriority w:val="99"/>
    <w:rPr>
      <w:rFonts w:cs="Times New Roman"/>
      <w:color w:val="000000"/>
      <w:sz w:val="18"/>
      <w:szCs w:val="18"/>
    </w:rPr>
  </w:style>
  <w:style w:type="character" w:customStyle="1" w:styleId="38">
    <w:name w:val="页眉 字符"/>
    <w:link w:val="10"/>
    <w:semiHidden/>
    <w:qFormat/>
    <w:locked/>
    <w:uiPriority w:val="99"/>
    <w:rPr>
      <w:rFonts w:cs="Times New Roman"/>
      <w:color w:val="000000"/>
      <w:sz w:val="18"/>
      <w:szCs w:val="18"/>
    </w:rPr>
  </w:style>
  <w:style w:type="character" w:customStyle="1" w:styleId="39">
    <w:name w:val="批注主题 字符"/>
    <w:link w:val="14"/>
    <w:semiHidden/>
    <w:qFormat/>
    <w:locked/>
    <w:uiPriority w:val="99"/>
    <w:rPr>
      <w:rFonts w:cs="Times New Roman"/>
      <w:b/>
      <w:color w:val="000000"/>
      <w:sz w:val="28"/>
    </w:rPr>
  </w:style>
  <w:style w:type="character" w:customStyle="1" w:styleId="40">
    <w:name w:val="NormalCharacter"/>
    <w:semiHidden/>
    <w:qFormat/>
    <w:uiPriority w:val="99"/>
    <w:rPr>
      <w:rFonts w:ascii="Times New Roman" w:hAnsi="Times New Roman" w:eastAsia="宋体"/>
      <w:color w:val="000000"/>
      <w:kern w:val="2"/>
      <w:sz w:val="22"/>
      <w:lang w:val="en-US" w:eastAsia="zh-CN"/>
    </w:rPr>
  </w:style>
  <w:style w:type="character" w:customStyle="1" w:styleId="41">
    <w:name w:val="fontstrikethrough"/>
    <w:basedOn w:val="18"/>
    <w:qFormat/>
    <w:uiPriority w:val="0"/>
    <w:rPr>
      <w:strike/>
    </w:rPr>
  </w:style>
  <w:style w:type="character" w:customStyle="1" w:styleId="42">
    <w:name w:val="fontborder"/>
    <w:basedOn w:val="18"/>
    <w:qFormat/>
    <w:uiPriority w:val="0"/>
    <w:rPr>
      <w:bdr w:val="single" w:color="000000" w:sz="4"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2328</Words>
  <Characters>13276</Characters>
  <Lines>110</Lines>
  <Paragraphs>31</Paragraphs>
  <TotalTime>4</TotalTime>
  <ScaleCrop>false</ScaleCrop>
  <LinksUpToDate>false</LinksUpToDate>
  <CharactersWithSpaces>15573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2020-11-06T07:16:00Z</dcterms:created>
  <dc:creator>pc-008</dc:creator>
  <cp:lastModifiedBy>陈和金</cp:lastModifiedBy>
  <cp:lastPrinted>2021-05-31T15:29:00Z</cp:lastPrinted>
  <dcterms:modified xsi:type="dcterms:W3CDTF">2021-06-01T07:55:39Z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5F477E84B77F4783A0A622FDFE80DAAF</vt:lpwstr>
  </property>
</Properties>
</file>