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C721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bCs/>
          <w:sz w:val="36"/>
          <w:szCs w:val="36"/>
        </w:rPr>
      </w:pPr>
      <w:bookmarkStart w:id="0" w:name="_GoBack"/>
      <w:r>
        <w:rPr>
          <w:b/>
          <w:bCs/>
          <w:sz w:val="36"/>
          <w:szCs w:val="36"/>
          <w:bdr w:val="none" w:color="auto" w:sz="0" w:space="0"/>
        </w:rPr>
        <w:t>江西省应急管理厅关于印发《醇基燃料生产经营单位安全管控要点（试行）》的通知</w:t>
      </w:r>
    </w:p>
    <w:bookmarkEnd w:id="0"/>
    <w:p w14:paraId="228DB6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ascii="cursive" w:hAnsi="cursive" w:eastAsia="cursive" w:cs="cursive"/>
          <w:b w:val="0"/>
          <w:bCs w:val="0"/>
          <w:sz w:val="27"/>
          <w:szCs w:val="27"/>
        </w:rPr>
      </w:pPr>
      <w:r>
        <w:rPr>
          <w:rFonts w:hint="default" w:ascii="cursive" w:hAnsi="cursive" w:eastAsia="cursive" w:cs="cursive"/>
          <w:b w:val="0"/>
          <w:bCs w:val="0"/>
          <w:sz w:val="27"/>
          <w:szCs w:val="27"/>
          <w:bdr w:val="none" w:color="auto" w:sz="0" w:space="0"/>
        </w:rPr>
        <w:t>赣应急字〔2025〕69号</w:t>
      </w:r>
    </w:p>
    <w:p w14:paraId="3A5881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ascii="宋体" w:hAnsi="宋体" w:eastAsia="宋体" w:cs="宋体"/>
          <w:color w:val="000000"/>
          <w:kern w:val="0"/>
          <w:sz w:val="24"/>
          <w:szCs w:val="24"/>
          <w:u w:val="none"/>
          <w:bdr w:val="none" w:color="auto" w:sz="0" w:space="0"/>
          <w:lang w:val="en-US" w:eastAsia="zh-CN" w:bidi="ar"/>
        </w:rPr>
        <w:fldChar w:fldCharType="begin"/>
      </w:r>
      <w:r>
        <w:rPr>
          <w:rFonts w:ascii="宋体" w:hAnsi="宋体" w:eastAsia="宋体" w:cs="宋体"/>
          <w:color w:val="000000"/>
          <w:kern w:val="0"/>
          <w:sz w:val="24"/>
          <w:szCs w:val="24"/>
          <w:u w:val="none"/>
          <w:bdr w:val="none" w:color="auto" w:sz="0" w:space="0"/>
          <w:lang w:val="en-US" w:eastAsia="zh-CN" w:bidi="ar"/>
        </w:rPr>
        <w:instrText xml:space="preserve"> HYPERLINK "https://yjglt.jiangxi.gov.cn/jxsyjglt/" \o "分享到新浪微博" </w:instrText>
      </w:r>
      <w:r>
        <w:rPr>
          <w:rFonts w:ascii="宋体" w:hAnsi="宋体" w:eastAsia="宋体" w:cs="宋体"/>
          <w:color w:val="000000"/>
          <w:kern w:val="0"/>
          <w:sz w:val="24"/>
          <w:szCs w:val="24"/>
          <w:u w:val="none"/>
          <w:bdr w:val="none" w:color="auto" w:sz="0" w:space="0"/>
          <w:lang w:val="en-US" w:eastAsia="zh-CN" w:bidi="ar"/>
        </w:rPr>
        <w:fldChar w:fldCharType="separate"/>
      </w:r>
      <w:r>
        <w:rPr>
          <w:rFonts w:ascii="宋体" w:hAnsi="宋体" w:eastAsia="宋体" w:cs="宋体"/>
          <w:color w:val="000000"/>
          <w:kern w:val="0"/>
          <w:sz w:val="24"/>
          <w:szCs w:val="24"/>
          <w:u w:val="none"/>
          <w:bdr w:val="none" w:color="auto" w:sz="0" w:space="0"/>
          <w:lang w:val="en-US" w:eastAsia="zh-CN" w:bidi="ar"/>
        </w:rPr>
        <w:fldChar w:fldCharType="end"/>
      </w:r>
      <w:r>
        <w:rPr>
          <w:rFonts w:ascii="宋体" w:hAnsi="宋体" w:eastAsia="宋体" w:cs="宋体"/>
          <w:color w:val="000000"/>
          <w:kern w:val="0"/>
          <w:sz w:val="24"/>
          <w:szCs w:val="24"/>
          <w:u w:val="none"/>
          <w:bdr w:val="none" w:color="auto" w:sz="0" w:space="0"/>
          <w:lang w:val="en-US" w:eastAsia="zh-CN" w:bidi="ar"/>
        </w:rPr>
        <w:fldChar w:fldCharType="begin"/>
      </w:r>
      <w:r>
        <w:rPr>
          <w:rFonts w:ascii="宋体" w:hAnsi="宋体" w:eastAsia="宋体" w:cs="宋体"/>
          <w:color w:val="000000"/>
          <w:kern w:val="0"/>
          <w:sz w:val="24"/>
          <w:szCs w:val="24"/>
          <w:u w:val="none"/>
          <w:bdr w:val="none" w:color="auto" w:sz="0" w:space="0"/>
          <w:lang w:val="en-US" w:eastAsia="zh-CN" w:bidi="ar"/>
        </w:rPr>
        <w:instrText xml:space="preserve"> HYPERLINK "https://yjglt.jiangxi.gov.cn/jxsyjglt/" \o "分享到微信" </w:instrText>
      </w:r>
      <w:r>
        <w:rPr>
          <w:rFonts w:ascii="宋体" w:hAnsi="宋体" w:eastAsia="宋体" w:cs="宋体"/>
          <w:color w:val="000000"/>
          <w:kern w:val="0"/>
          <w:sz w:val="24"/>
          <w:szCs w:val="24"/>
          <w:u w:val="none"/>
          <w:bdr w:val="none" w:color="auto" w:sz="0" w:space="0"/>
          <w:lang w:val="en-US" w:eastAsia="zh-CN" w:bidi="ar"/>
        </w:rPr>
        <w:fldChar w:fldCharType="separate"/>
      </w:r>
      <w:r>
        <w:rPr>
          <w:rFonts w:ascii="宋体" w:hAnsi="宋体" w:eastAsia="宋体" w:cs="宋体"/>
          <w:color w:val="000000"/>
          <w:kern w:val="0"/>
          <w:sz w:val="24"/>
          <w:szCs w:val="24"/>
          <w:u w:val="none"/>
          <w:bdr w:val="none" w:color="auto" w:sz="0" w:space="0"/>
          <w:lang w:val="en-US" w:eastAsia="zh-CN" w:bidi="ar"/>
        </w:rPr>
        <w:fldChar w:fldCharType="end"/>
      </w:r>
    </w:p>
    <w:p w14:paraId="4F3013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firstLine="0"/>
        <w:jc w:val="left"/>
        <w:rPr>
          <w:rFonts w:ascii="微软雅黑" w:hAnsi="微软雅黑" w:eastAsia="微软雅黑" w:cs="微软雅黑"/>
          <w:i w:val="0"/>
          <w:iCs w:val="0"/>
          <w:caps w:val="0"/>
          <w:color w:val="000000"/>
          <w:spacing w:val="0"/>
          <w:sz w:val="30"/>
          <w:szCs w:val="30"/>
        </w:rPr>
      </w:pPr>
      <w:r>
        <w:rPr>
          <w:rFonts w:hint="eastAsia" w:ascii="微软雅黑" w:hAnsi="微软雅黑" w:eastAsia="微软雅黑" w:cs="微软雅黑"/>
          <w:i w:val="0"/>
          <w:iCs w:val="0"/>
          <w:caps w:val="0"/>
          <w:color w:val="000000"/>
          <w:spacing w:val="0"/>
          <w:sz w:val="30"/>
          <w:szCs w:val="30"/>
          <w:bdr w:val="none" w:color="auto" w:sz="0" w:space="0"/>
          <w:shd w:val="clear" w:fill="FFFFFF"/>
        </w:rPr>
        <w:t>各设区市、赣江新区应急管理局：</w:t>
      </w:r>
    </w:p>
    <w:p w14:paraId="6855317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firstLine="600"/>
        <w:jc w:val="left"/>
        <w:rPr>
          <w:rFonts w:hint="eastAsia" w:ascii="微软雅黑" w:hAnsi="微软雅黑" w:eastAsia="微软雅黑" w:cs="微软雅黑"/>
          <w:i w:val="0"/>
          <w:iCs w:val="0"/>
          <w:caps w:val="0"/>
          <w:color w:val="000000"/>
          <w:spacing w:val="0"/>
          <w:sz w:val="30"/>
          <w:szCs w:val="30"/>
        </w:rPr>
      </w:pPr>
      <w:r>
        <w:rPr>
          <w:rFonts w:hint="eastAsia" w:ascii="微软雅黑" w:hAnsi="微软雅黑" w:eastAsia="微软雅黑" w:cs="微软雅黑"/>
          <w:i w:val="0"/>
          <w:iCs w:val="0"/>
          <w:caps w:val="0"/>
          <w:color w:val="000000"/>
          <w:spacing w:val="0"/>
          <w:sz w:val="30"/>
          <w:szCs w:val="30"/>
          <w:bdr w:val="none" w:color="auto" w:sz="0" w:space="0"/>
          <w:shd w:val="clear" w:fill="FFFFFF"/>
        </w:rPr>
        <w:t>《醇基燃料生产经营单位安全管控要点（试行）》已经厅长办公会审议通过，现印发你们，请认真贯彻执行。</w:t>
      </w:r>
    </w:p>
    <w:p w14:paraId="0B681F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firstLine="600"/>
        <w:jc w:val="left"/>
        <w:rPr>
          <w:rFonts w:hint="eastAsia" w:ascii="微软雅黑" w:hAnsi="微软雅黑" w:eastAsia="微软雅黑" w:cs="微软雅黑"/>
          <w:i w:val="0"/>
          <w:iCs w:val="0"/>
          <w:caps w:val="0"/>
          <w:color w:val="000000"/>
          <w:spacing w:val="0"/>
          <w:sz w:val="30"/>
          <w:szCs w:val="30"/>
        </w:rPr>
      </w:pPr>
    </w:p>
    <w:p w14:paraId="68F626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firstLine="600"/>
        <w:jc w:val="left"/>
        <w:rPr>
          <w:rFonts w:hint="eastAsia" w:ascii="微软雅黑" w:hAnsi="微软雅黑" w:eastAsia="微软雅黑" w:cs="微软雅黑"/>
          <w:i w:val="0"/>
          <w:iCs w:val="0"/>
          <w:caps w:val="0"/>
          <w:color w:val="000000"/>
          <w:spacing w:val="0"/>
          <w:sz w:val="30"/>
          <w:szCs w:val="30"/>
        </w:rPr>
      </w:pPr>
    </w:p>
    <w:p w14:paraId="5D0F8DE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firstLine="600"/>
        <w:jc w:val="right"/>
        <w:rPr>
          <w:rFonts w:hint="eastAsia" w:ascii="微软雅黑" w:hAnsi="微软雅黑" w:eastAsia="微软雅黑" w:cs="微软雅黑"/>
          <w:i w:val="0"/>
          <w:iCs w:val="0"/>
          <w:caps w:val="0"/>
          <w:color w:val="000000"/>
          <w:spacing w:val="0"/>
          <w:sz w:val="30"/>
          <w:szCs w:val="30"/>
        </w:rPr>
      </w:pPr>
      <w:r>
        <w:rPr>
          <w:rFonts w:hint="eastAsia" w:ascii="微软雅黑" w:hAnsi="微软雅黑" w:eastAsia="微软雅黑" w:cs="微软雅黑"/>
          <w:i w:val="0"/>
          <w:iCs w:val="0"/>
          <w:caps w:val="0"/>
          <w:color w:val="000000"/>
          <w:spacing w:val="0"/>
          <w:sz w:val="30"/>
          <w:szCs w:val="30"/>
          <w:bdr w:val="none" w:color="auto" w:sz="0" w:space="0"/>
          <w:shd w:val="clear" w:fill="FFFFFF"/>
        </w:rPr>
        <w:t>江西省应急管理厅</w:t>
      </w:r>
    </w:p>
    <w:p w14:paraId="00762E2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firstLine="600"/>
        <w:jc w:val="right"/>
        <w:rPr>
          <w:rFonts w:hint="eastAsia" w:ascii="微软雅黑" w:hAnsi="微软雅黑" w:eastAsia="微软雅黑" w:cs="微软雅黑"/>
          <w:i w:val="0"/>
          <w:iCs w:val="0"/>
          <w:caps w:val="0"/>
          <w:color w:val="000000"/>
          <w:spacing w:val="0"/>
          <w:sz w:val="30"/>
          <w:szCs w:val="30"/>
        </w:rPr>
      </w:pPr>
      <w:r>
        <w:rPr>
          <w:rFonts w:hint="eastAsia" w:ascii="微软雅黑" w:hAnsi="微软雅黑" w:eastAsia="微软雅黑" w:cs="微软雅黑"/>
          <w:i w:val="0"/>
          <w:iCs w:val="0"/>
          <w:caps w:val="0"/>
          <w:color w:val="000000"/>
          <w:spacing w:val="0"/>
          <w:sz w:val="30"/>
          <w:szCs w:val="30"/>
          <w:bdr w:val="none" w:color="auto" w:sz="0" w:space="0"/>
          <w:shd w:val="clear" w:fill="FFFFFF"/>
        </w:rPr>
        <w:t>2025年12月9日</w:t>
      </w:r>
    </w:p>
    <w:p w14:paraId="751688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firstLine="600"/>
        <w:jc w:val="right"/>
        <w:rPr>
          <w:rFonts w:hint="eastAsia" w:ascii="微软雅黑" w:hAnsi="微软雅黑" w:eastAsia="微软雅黑" w:cs="微软雅黑"/>
          <w:i w:val="0"/>
          <w:iCs w:val="0"/>
          <w:caps w:val="0"/>
          <w:color w:val="000000"/>
          <w:spacing w:val="0"/>
          <w:sz w:val="30"/>
          <w:szCs w:val="30"/>
        </w:rPr>
      </w:pPr>
    </w:p>
    <w:p w14:paraId="7622E2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firstLine="420"/>
        <w:jc w:val="center"/>
        <w:rPr>
          <w:rFonts w:hint="eastAsia" w:ascii="微软雅黑" w:hAnsi="微软雅黑" w:eastAsia="微软雅黑" w:cs="微软雅黑"/>
          <w:i w:val="0"/>
          <w:iCs w:val="0"/>
          <w:caps w:val="0"/>
          <w:color w:val="000000"/>
          <w:spacing w:val="0"/>
          <w:sz w:val="30"/>
          <w:szCs w:val="30"/>
        </w:rPr>
      </w:pPr>
      <w:r>
        <w:rPr>
          <w:rStyle w:val="5"/>
          <w:rFonts w:hint="eastAsia" w:ascii="微软雅黑" w:hAnsi="微软雅黑" w:eastAsia="微软雅黑" w:cs="微软雅黑"/>
          <w:b/>
          <w:bCs/>
          <w:i w:val="0"/>
          <w:iCs w:val="0"/>
          <w:caps w:val="0"/>
          <w:color w:val="000000"/>
          <w:spacing w:val="0"/>
          <w:sz w:val="30"/>
          <w:szCs w:val="30"/>
          <w:bdr w:val="none" w:color="auto" w:sz="0" w:space="0"/>
          <w:shd w:val="clear" w:fill="FFFFFF"/>
        </w:rPr>
        <w:t>醇基燃料生产经营单位安全管控要点</w:t>
      </w:r>
    </w:p>
    <w:p w14:paraId="49E87A7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firstLine="600"/>
        <w:jc w:val="center"/>
        <w:rPr>
          <w:rFonts w:hint="eastAsia" w:ascii="微软雅黑" w:hAnsi="微软雅黑" w:eastAsia="微软雅黑" w:cs="微软雅黑"/>
          <w:i w:val="0"/>
          <w:iCs w:val="0"/>
          <w:caps w:val="0"/>
          <w:color w:val="000000"/>
          <w:spacing w:val="0"/>
          <w:sz w:val="30"/>
          <w:szCs w:val="30"/>
        </w:rPr>
      </w:pPr>
      <w:r>
        <w:rPr>
          <w:rStyle w:val="5"/>
          <w:rFonts w:hint="eastAsia" w:ascii="微软雅黑" w:hAnsi="微软雅黑" w:eastAsia="微软雅黑" w:cs="微软雅黑"/>
          <w:b/>
          <w:bCs/>
          <w:i w:val="0"/>
          <w:iCs w:val="0"/>
          <w:caps w:val="0"/>
          <w:color w:val="000000"/>
          <w:spacing w:val="0"/>
          <w:sz w:val="30"/>
          <w:szCs w:val="30"/>
          <w:bdr w:val="none" w:color="auto" w:sz="0" w:space="0"/>
          <w:shd w:val="clear" w:fill="FFFFFF"/>
        </w:rPr>
        <w:t>（试行）</w:t>
      </w:r>
    </w:p>
    <w:p w14:paraId="1F39A39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firstLine="600"/>
        <w:jc w:val="left"/>
        <w:rPr>
          <w:rFonts w:hint="eastAsia" w:ascii="微软雅黑" w:hAnsi="微软雅黑" w:eastAsia="微软雅黑" w:cs="微软雅黑"/>
          <w:i w:val="0"/>
          <w:iCs w:val="0"/>
          <w:caps w:val="0"/>
          <w:color w:val="000000"/>
          <w:spacing w:val="0"/>
          <w:sz w:val="30"/>
          <w:szCs w:val="30"/>
        </w:rPr>
      </w:pPr>
      <w:r>
        <w:rPr>
          <w:rFonts w:hint="eastAsia" w:ascii="微软雅黑" w:hAnsi="微软雅黑" w:eastAsia="微软雅黑" w:cs="微软雅黑"/>
          <w:i w:val="0"/>
          <w:iCs w:val="0"/>
          <w:caps w:val="0"/>
          <w:color w:val="000000"/>
          <w:spacing w:val="0"/>
          <w:sz w:val="30"/>
          <w:szCs w:val="30"/>
          <w:bdr w:val="none" w:color="auto" w:sz="0" w:space="0"/>
          <w:shd w:val="clear" w:fill="FFFFFF"/>
        </w:rPr>
        <w:t>根据《中华人民共和国安全生产法》《危险化学品安全管理条例》《江西省安全生产委员会关于加强醇基燃料安全监管的通知》等，为督促指导醇基燃料生产、经营单位切实落实安全生产主体责任，落实安全风险分级管控和隐患排查治理双重预防机制，提高我省醇基燃料的监管水平，有效防范各类事故发生，结合实际，制定本管控要点。</w:t>
      </w:r>
    </w:p>
    <w:p w14:paraId="6DBBC34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firstLine="600"/>
        <w:jc w:val="left"/>
        <w:rPr>
          <w:rFonts w:hint="eastAsia" w:ascii="微软雅黑" w:hAnsi="微软雅黑" w:eastAsia="微软雅黑" w:cs="微软雅黑"/>
          <w:i w:val="0"/>
          <w:iCs w:val="0"/>
          <w:caps w:val="0"/>
          <w:color w:val="000000"/>
          <w:spacing w:val="0"/>
          <w:sz w:val="30"/>
          <w:szCs w:val="30"/>
        </w:rPr>
      </w:pPr>
      <w:r>
        <w:rPr>
          <w:rFonts w:hint="eastAsia" w:ascii="微软雅黑" w:hAnsi="微软雅黑" w:eastAsia="微软雅黑" w:cs="微软雅黑"/>
          <w:i w:val="0"/>
          <w:iCs w:val="0"/>
          <w:caps w:val="0"/>
          <w:color w:val="000000"/>
          <w:spacing w:val="0"/>
          <w:sz w:val="30"/>
          <w:szCs w:val="30"/>
          <w:bdr w:val="none" w:color="auto" w:sz="0" w:space="0"/>
          <w:shd w:val="clear" w:fill="FFFFFF"/>
        </w:rPr>
        <w:t>一、在江西省内生产、经营醇基燃料的企业应当依法取得危险化学品安全生产许可或危险化学品经营许可。</w:t>
      </w:r>
    </w:p>
    <w:p w14:paraId="56BDA22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firstLine="600"/>
        <w:jc w:val="left"/>
        <w:rPr>
          <w:rFonts w:hint="eastAsia" w:ascii="微软雅黑" w:hAnsi="微软雅黑" w:eastAsia="微软雅黑" w:cs="微软雅黑"/>
          <w:i w:val="0"/>
          <w:iCs w:val="0"/>
          <w:caps w:val="0"/>
          <w:color w:val="000000"/>
          <w:spacing w:val="0"/>
          <w:sz w:val="30"/>
          <w:szCs w:val="30"/>
        </w:rPr>
      </w:pPr>
      <w:r>
        <w:rPr>
          <w:rFonts w:hint="eastAsia" w:ascii="微软雅黑" w:hAnsi="微软雅黑" w:eastAsia="微软雅黑" w:cs="微软雅黑"/>
          <w:i w:val="0"/>
          <w:iCs w:val="0"/>
          <w:caps w:val="0"/>
          <w:color w:val="000000"/>
          <w:spacing w:val="0"/>
          <w:sz w:val="30"/>
          <w:szCs w:val="30"/>
          <w:bdr w:val="none" w:color="auto" w:sz="0" w:space="0"/>
          <w:shd w:val="clear" w:fill="FFFFFF"/>
        </w:rPr>
        <w:t>二、属于危险化学品的醇基燃料生产单位按照危险化学品生产企业相关标准和要求进行监管。</w:t>
      </w:r>
    </w:p>
    <w:p w14:paraId="1A8E6C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firstLine="600"/>
        <w:jc w:val="left"/>
        <w:rPr>
          <w:rFonts w:hint="eastAsia" w:ascii="微软雅黑" w:hAnsi="微软雅黑" w:eastAsia="微软雅黑" w:cs="微软雅黑"/>
          <w:i w:val="0"/>
          <w:iCs w:val="0"/>
          <w:caps w:val="0"/>
          <w:color w:val="000000"/>
          <w:spacing w:val="0"/>
          <w:sz w:val="30"/>
          <w:szCs w:val="30"/>
        </w:rPr>
      </w:pPr>
      <w:r>
        <w:rPr>
          <w:rFonts w:hint="eastAsia" w:ascii="微软雅黑" w:hAnsi="微软雅黑" w:eastAsia="微软雅黑" w:cs="微软雅黑"/>
          <w:i w:val="0"/>
          <w:iCs w:val="0"/>
          <w:caps w:val="0"/>
          <w:color w:val="000000"/>
          <w:spacing w:val="0"/>
          <w:sz w:val="30"/>
          <w:szCs w:val="30"/>
          <w:bdr w:val="none" w:color="auto" w:sz="0" w:space="0"/>
          <w:shd w:val="clear" w:fill="FFFFFF"/>
        </w:rPr>
        <w:t>三、醇基燃料经营单位按照《醇基燃料经营单位安全管控要点》（试行，见附件1、附件2），在基础管理、现场安全等方面，重点对储存、装卸、购销、运输等经营环节做好安全防控工作，向合法的生产经营单位采购具有规范的化学品安全技术说明书和安全标签的醇基燃料，严禁非法储存醇基燃料。</w:t>
      </w:r>
    </w:p>
    <w:p w14:paraId="2BD78D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firstLine="600"/>
        <w:jc w:val="left"/>
        <w:rPr>
          <w:rFonts w:hint="eastAsia" w:ascii="微软雅黑" w:hAnsi="微软雅黑" w:eastAsia="微软雅黑" w:cs="微软雅黑"/>
          <w:i w:val="0"/>
          <w:iCs w:val="0"/>
          <w:caps w:val="0"/>
          <w:color w:val="000000"/>
          <w:spacing w:val="0"/>
          <w:sz w:val="30"/>
          <w:szCs w:val="30"/>
        </w:rPr>
      </w:pPr>
      <w:r>
        <w:rPr>
          <w:rFonts w:hint="eastAsia" w:ascii="微软雅黑" w:hAnsi="微软雅黑" w:eastAsia="微软雅黑" w:cs="微软雅黑"/>
          <w:i w:val="0"/>
          <w:iCs w:val="0"/>
          <w:caps w:val="0"/>
          <w:color w:val="000000"/>
          <w:spacing w:val="0"/>
          <w:sz w:val="30"/>
          <w:szCs w:val="30"/>
          <w:bdr w:val="none" w:color="auto" w:sz="0" w:space="0"/>
          <w:shd w:val="clear" w:fill="FFFFFF"/>
        </w:rPr>
        <w:t>四、生产、经营的醇基燃料应当符合《醇基液体燃料》（GB 16663）的标准，生产、经营醇基燃料单位应当准确掌握并有效传递危险化学品的危险特性、安全要求、应急处置措施等基本信息，依法依规提供相符的安全技术说明书和安全标签，为事故预防和应急救援提供重要基础性的技术、信息支持。</w:t>
      </w:r>
    </w:p>
    <w:p w14:paraId="1AAF92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firstLine="600"/>
        <w:jc w:val="left"/>
        <w:rPr>
          <w:rFonts w:hint="eastAsia" w:ascii="微软雅黑" w:hAnsi="微软雅黑" w:eastAsia="微软雅黑" w:cs="微软雅黑"/>
          <w:i w:val="0"/>
          <w:iCs w:val="0"/>
          <w:caps w:val="0"/>
          <w:color w:val="000000"/>
          <w:spacing w:val="0"/>
          <w:sz w:val="30"/>
          <w:szCs w:val="30"/>
        </w:rPr>
      </w:pPr>
      <w:r>
        <w:rPr>
          <w:rFonts w:hint="eastAsia" w:ascii="微软雅黑" w:hAnsi="微软雅黑" w:eastAsia="微软雅黑" w:cs="微软雅黑"/>
          <w:i w:val="0"/>
          <w:iCs w:val="0"/>
          <w:caps w:val="0"/>
          <w:color w:val="000000"/>
          <w:spacing w:val="0"/>
          <w:sz w:val="30"/>
          <w:szCs w:val="30"/>
          <w:bdr w:val="none" w:color="auto" w:sz="0" w:space="0"/>
          <w:shd w:val="clear" w:fill="FFFFFF"/>
        </w:rPr>
        <w:t>五、生产、经营醇基燃料的单位应当落实各项安全措施，做好日常自查工作，要结合本单位的实际情况，定期对照管控要点全面开展隐患排查并及时整改；监管部门要结合工作实际，定期开展安全监督检查，督促指导落实管控要点。</w:t>
      </w:r>
    </w:p>
    <w:p w14:paraId="0B0A33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firstLine="600"/>
        <w:jc w:val="left"/>
        <w:rPr>
          <w:rFonts w:hint="eastAsia" w:ascii="微软雅黑" w:hAnsi="微软雅黑" w:eastAsia="微软雅黑" w:cs="微软雅黑"/>
          <w:i w:val="0"/>
          <w:iCs w:val="0"/>
          <w:caps w:val="0"/>
          <w:color w:val="000000"/>
          <w:spacing w:val="0"/>
          <w:sz w:val="30"/>
          <w:szCs w:val="30"/>
        </w:rPr>
      </w:pPr>
      <w:r>
        <w:rPr>
          <w:rFonts w:hint="eastAsia" w:ascii="微软雅黑" w:hAnsi="微软雅黑" w:eastAsia="微软雅黑" w:cs="微软雅黑"/>
          <w:i w:val="0"/>
          <w:iCs w:val="0"/>
          <w:caps w:val="0"/>
          <w:color w:val="000000"/>
          <w:spacing w:val="0"/>
          <w:sz w:val="30"/>
          <w:szCs w:val="30"/>
          <w:bdr w:val="none" w:color="auto" w:sz="0" w:space="0"/>
          <w:shd w:val="clear" w:fill="FFFFFF"/>
        </w:rPr>
        <w:t>六、本管控要点自2026年2月1日起施行，由省应急管理厅负责解释，具体解释工作由省应急管理厅危化处承担。</w:t>
      </w:r>
    </w:p>
    <w:p w14:paraId="69ABE8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14:paraId="104DE15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ursiv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2F1BBD"/>
    <w:rsid w:val="612F1B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2026-02-03T09:06:00Z</dcterms:created>
  <dc:creator>WYH</dc:creator>
  <cp:lastModifiedBy>WYH</cp:lastModifiedBy>
  <dcterms:modified xsi:type="dcterms:W3CDTF">2026-02-03T09:06:26Z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DD7A46B4129A49F4BCF0747857C996E3_11</vt:lpwstr>
  </property>
  <property fmtid="{D5CDD505-2E9C-101B-9397-08002B2CF9AE}" pid="4" name="KSOTemplateDocerSaveRecord">
    <vt:lpwstr>eyJoZGlkIjoiNDBmZTc4Y2Y3OTNjMDA3NjEzOGY0OWUzZDM2NjIwNGIiLCJ1c2VySWQiOiIxMTQ5OTQwMTczIn0=</vt:lpwstr>
  </property>
</Properties>
</file>