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F47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宋体" w:hAnsi="宋体" w:eastAsia="方正小标宋简体" w:cs="方正小标宋简体"/>
          <w:sz w:val="44"/>
          <w:szCs w:val="44"/>
          <w:lang w:val="en-US" w:eastAsia="zh-CN"/>
        </w:rPr>
      </w:pPr>
    </w:p>
    <w:p w14:paraId="4F27A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宋体" w:hAnsi="宋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宋体" w:hAnsi="宋体" w:eastAsia="方正小标宋简体" w:cs="方正小标宋简体"/>
          <w:sz w:val="44"/>
          <w:szCs w:val="44"/>
          <w:lang w:val="en-US" w:eastAsia="zh-CN"/>
        </w:rPr>
        <w:t>关于《赣州市政府投资项目工程增量管理办法</w:t>
      </w:r>
    </w:p>
    <w:p w14:paraId="3C7B23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宋体" w:hAnsi="宋体" w:eastAsia="方正小标宋简体" w:cs="方正小标宋简体"/>
          <w:sz w:val="44"/>
          <w:szCs w:val="44"/>
          <w:lang w:val="en" w:eastAsia="zh-CN"/>
        </w:rPr>
      </w:pPr>
      <w:r>
        <w:rPr>
          <w:rFonts w:hint="eastAsia" w:ascii="宋体" w:hAnsi="宋体" w:eastAsia="方正小标宋简体" w:cs="方正小标宋简体"/>
          <w:sz w:val="44"/>
          <w:szCs w:val="44"/>
          <w:lang w:val="en-US" w:eastAsia="zh-CN"/>
        </w:rPr>
        <w:t>（征求意见稿）》的修订说明</w:t>
      </w:r>
    </w:p>
    <w:p w14:paraId="65F9BEE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宋体" w:hAnsi="宋体" w:eastAsia="楷体_GB2312" w:cs="楷体_GB2312"/>
          <w:sz w:val="32"/>
          <w:szCs w:val="32"/>
          <w:lang w:val="en-US" w:eastAsia="zh-CN"/>
        </w:rPr>
      </w:pPr>
      <w:r>
        <w:rPr>
          <w:rFonts w:hint="eastAsia" w:ascii="宋体" w:hAnsi="宋体" w:eastAsia="楷体_GB2312" w:cs="楷体_GB2312"/>
          <w:sz w:val="32"/>
          <w:szCs w:val="32"/>
          <w:lang w:val="en-US" w:eastAsia="zh-CN"/>
        </w:rPr>
        <w:t>市</w:t>
      </w:r>
      <w:bookmarkStart w:id="0" w:name="_GoBack"/>
      <w:bookmarkEnd w:id="0"/>
      <w:r>
        <w:rPr>
          <w:rFonts w:hint="eastAsia" w:ascii="宋体" w:hAnsi="宋体" w:eastAsia="楷体_GB2312" w:cs="楷体_GB2312"/>
          <w:sz w:val="32"/>
          <w:szCs w:val="32"/>
          <w:lang w:val="en-US" w:eastAsia="zh-CN"/>
        </w:rPr>
        <w:t>发展改革委</w:t>
      </w:r>
    </w:p>
    <w:p w14:paraId="6E983F3E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0" w:firstLineChars="0"/>
        <w:jc w:val="center"/>
        <w:textAlignment w:val="auto"/>
        <w:rPr>
          <w:rFonts w:hint="eastAsia" w:ascii="宋体" w:hAnsi="宋体" w:eastAsia="楷体_GB2312" w:cs="楷体_GB2312"/>
          <w:sz w:val="32"/>
          <w:szCs w:val="32"/>
          <w:lang w:val="en-US"/>
        </w:rPr>
      </w:pPr>
    </w:p>
    <w:p w14:paraId="4C9A6E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黑体" w:cs="黑体"/>
          <w:sz w:val="32"/>
          <w:szCs w:val="32"/>
          <w:lang w:eastAsia="zh-CN"/>
        </w:rPr>
      </w:pPr>
      <w:r>
        <w:rPr>
          <w:rFonts w:hint="eastAsia" w:ascii="宋体" w:hAnsi="宋体" w:eastAsia="黑体" w:cs="黑体"/>
          <w:sz w:val="32"/>
          <w:szCs w:val="32"/>
          <w:lang w:eastAsia="zh-CN"/>
        </w:rPr>
        <w:t>一、修订背景及过程</w:t>
      </w:r>
    </w:p>
    <w:p w14:paraId="624465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宋体" w:hAnsi="宋体" w:eastAsia="仿宋_GB2312" w:cs="仿宋_GB2312"/>
          <w:sz w:val="32"/>
          <w:szCs w:val="32"/>
          <w:lang w:val="en" w:eastAsia="zh-CN"/>
        </w:rPr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2021年11月23日，以赣州市人民政府办公室名义印发了《赣州市政府投资项目工程增量管理办法（试行）》（赣市府办发〔2021〕15号）（以下简称“《原管理办法》”），因《原管理办法》试行期满，按照市政府有关要求，为进一步加强工程增量管理办法的科学性、合理性、可操作性，我委于2025年8月启动了修订工作。</w:t>
      </w:r>
    </w:p>
    <w:p w14:paraId="6D151D62">
      <w:pPr>
        <w:keepNext w:val="0"/>
        <w:keepLines w:val="0"/>
        <w:pageBreakBefore w:val="0"/>
        <w:widowControl/>
        <w:numPr>
          <w:ilvl w:val="-1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0"/>
        <w:textAlignment w:val="auto"/>
        <w:rPr>
          <w:rFonts w:hint="default" w:ascii="宋体" w:hAnsi="宋体" w:eastAsia="仿宋_GB2312" w:cs="仿宋_GB2312"/>
          <w:color w:val="auto"/>
          <w:spacing w:val="-6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依据《政府投资条例》《江西省政府投资管理办法》《基本建设财务规则》等政策法规，结合本市实际，对《原管理办法》在保持原有框架基础上，对关键条款进行了补充、细化和完善</w:t>
      </w:r>
      <w:r>
        <w:rPr>
          <w:rFonts w:hint="default" w:ascii="宋体" w:hAnsi="宋体" w:eastAsia="仿宋_GB2312" w:cs="仿宋_GB2312"/>
          <w:sz w:val="32"/>
          <w:szCs w:val="32"/>
          <w:lang w:val="en" w:eastAsia="zh-CN"/>
        </w:rPr>
        <w:t>。</w:t>
      </w:r>
      <w:r>
        <w:rPr>
          <w:rFonts w:hint="default" w:ascii="宋体" w:hAnsi="宋体" w:eastAsia="仿宋_GB2312" w:cs="仿宋_GB2312"/>
          <w:color w:val="auto"/>
          <w:spacing w:val="-6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宋体" w:hAnsi="宋体" w:eastAsia="仿宋_GB2312" w:cs="仿宋_GB2312"/>
          <w:color w:val="auto"/>
          <w:spacing w:val="-6"/>
          <w:kern w:val="2"/>
          <w:sz w:val="32"/>
          <w:szCs w:val="32"/>
          <w:lang w:val="en-US" w:eastAsia="zh-CN" w:bidi="ar-SA"/>
        </w:rPr>
        <w:t>5</w:t>
      </w:r>
      <w:r>
        <w:rPr>
          <w:rFonts w:hint="default" w:ascii="宋体" w:hAnsi="宋体" w:eastAsia="仿宋_GB2312" w:cs="仿宋_GB2312"/>
          <w:color w:val="auto"/>
          <w:spacing w:val="-6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宋体" w:hAnsi="宋体" w:eastAsia="仿宋_GB2312" w:cs="仿宋_GB2312"/>
          <w:color w:val="auto"/>
          <w:spacing w:val="-6"/>
          <w:kern w:val="2"/>
          <w:sz w:val="32"/>
          <w:szCs w:val="32"/>
          <w:lang w:val="en-US" w:eastAsia="zh-CN" w:bidi="ar-SA"/>
        </w:rPr>
        <w:t>8</w:t>
      </w:r>
      <w:r>
        <w:rPr>
          <w:rFonts w:hint="default" w:ascii="宋体" w:hAnsi="宋体" w:eastAsia="仿宋_GB2312" w:cs="仿宋_GB2312"/>
          <w:color w:val="auto"/>
          <w:spacing w:val="-6"/>
          <w:kern w:val="2"/>
          <w:sz w:val="32"/>
          <w:szCs w:val="32"/>
          <w:lang w:val="en-US" w:eastAsia="zh-CN" w:bidi="ar-SA"/>
        </w:rPr>
        <w:t>月至</w:t>
      </w:r>
      <w:r>
        <w:rPr>
          <w:rFonts w:hint="eastAsia" w:ascii="宋体" w:hAnsi="宋体" w:eastAsia="仿宋_GB2312" w:cs="仿宋_GB2312"/>
          <w:color w:val="auto"/>
          <w:spacing w:val="-6"/>
          <w:kern w:val="2"/>
          <w:sz w:val="32"/>
          <w:szCs w:val="32"/>
          <w:lang w:val="en-US" w:eastAsia="zh-CN" w:bidi="ar-SA"/>
        </w:rPr>
        <w:t>11</w:t>
      </w:r>
      <w:r>
        <w:rPr>
          <w:rFonts w:hint="default" w:ascii="宋体" w:hAnsi="宋体" w:eastAsia="仿宋_GB2312" w:cs="仿宋_GB2312"/>
          <w:color w:val="auto"/>
          <w:spacing w:val="-6"/>
          <w:kern w:val="2"/>
          <w:sz w:val="32"/>
          <w:szCs w:val="32"/>
          <w:lang w:val="en-US" w:eastAsia="zh-CN" w:bidi="ar-SA"/>
        </w:rPr>
        <w:t>月，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市发展改革委先后完成4轮书面征求意见工作，专题召开座谈会听取市直有关单位、市属国有企业、有关参建单位的意见建议，</w:t>
      </w:r>
      <w:r>
        <w:rPr>
          <w:rFonts w:hint="eastAsia" w:ascii="宋体" w:hAnsi="宋体" w:eastAsia="仿宋_GB2312" w:cs="仿宋_GB2312"/>
          <w:color w:val="auto"/>
          <w:spacing w:val="-6"/>
          <w:kern w:val="2"/>
          <w:sz w:val="32"/>
          <w:szCs w:val="32"/>
          <w:lang w:val="en-US" w:eastAsia="zh-CN" w:bidi="ar-SA"/>
        </w:rPr>
        <w:t>经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充分吸纳</w:t>
      </w:r>
      <w:r>
        <w:rPr>
          <w:rFonts w:hint="eastAsia" w:ascii="宋体" w:hAnsi="宋体" w:eastAsia="仿宋_GB2312" w:cs="仿宋_GB2312"/>
          <w:color w:val="auto"/>
          <w:spacing w:val="-6"/>
          <w:kern w:val="2"/>
          <w:sz w:val="32"/>
          <w:szCs w:val="32"/>
          <w:lang w:val="en-US" w:eastAsia="zh-CN" w:bidi="ar-SA"/>
        </w:rPr>
        <w:t>市领导及各部门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意见建议后，最终形成了《赣州市政府投资项目工程增量管理办法（</w:t>
      </w:r>
      <w:r>
        <w:rPr>
          <w:rFonts w:hint="default" w:ascii="宋体" w:hAnsi="宋体" w:eastAsia="仿宋_GB2312" w:cs="仿宋_GB2312"/>
          <w:sz w:val="32"/>
          <w:szCs w:val="32"/>
          <w:lang w:val="en" w:eastAsia="zh-CN"/>
        </w:rPr>
        <w:t>征求意见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稿）》（以下简称“《工程增量管理办法》”）。</w:t>
      </w:r>
    </w:p>
    <w:p w14:paraId="751C6C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黑体" w:cs="黑体"/>
          <w:sz w:val="32"/>
          <w:szCs w:val="32"/>
          <w:lang w:eastAsia="zh-CN"/>
        </w:rPr>
      </w:pPr>
      <w:r>
        <w:rPr>
          <w:rFonts w:hint="eastAsia" w:ascii="宋体" w:hAnsi="宋体" w:eastAsia="黑体" w:cs="黑体"/>
          <w:sz w:val="32"/>
          <w:szCs w:val="32"/>
          <w:lang w:eastAsia="zh-CN"/>
        </w:rPr>
        <w:t>二、修订主要内容</w:t>
      </w:r>
    </w:p>
    <w:p w14:paraId="04493BB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Lines="-2147483648"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《工程增量管理办法》共22条，较《原管理办法》新增3条单独条款。同时，重点对管理职责划分、审核权限与流程等关键条款进行补充、细化和完善，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一是明晰增量定义与管理范围；二是优化审核流程与分级规则；三是厘清工程增量管理中的责任主体；四是细化部门认定审核重点内容；五是增设责任追究条款；六是完善相关配套要求。</w:t>
      </w:r>
    </w:p>
    <w:p w14:paraId="5DB356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afterLines="-2147483648" w:line="540" w:lineRule="exact"/>
        <w:ind w:firstLine="640" w:firstLineChars="200"/>
        <w:textAlignment w:val="auto"/>
        <w:rPr>
          <w:rFonts w:hint="eastAsia" w:ascii="宋体" w:hAnsi="宋体" w:eastAsia="黑体" w:cs="黑体"/>
          <w:sz w:val="32"/>
          <w:szCs w:val="32"/>
          <w:lang w:eastAsia="zh-CN"/>
        </w:rPr>
      </w:pPr>
      <w:r>
        <w:rPr>
          <w:rFonts w:hint="eastAsia" w:ascii="宋体" w:hAnsi="宋体" w:eastAsia="黑体" w:cs="黑体"/>
          <w:sz w:val="32"/>
          <w:szCs w:val="32"/>
          <w:lang w:eastAsia="zh-CN"/>
        </w:rPr>
        <w:t>三、下一步打算</w:t>
      </w:r>
    </w:p>
    <w:p w14:paraId="79ED02E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宋体" w:hAnsi="宋体" w:eastAsia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/>
          <w:sz w:val="32"/>
          <w:szCs w:val="32"/>
          <w:lang w:val="en-US" w:eastAsia="zh-CN"/>
        </w:rPr>
        <w:t>待《工程增量管理办法》正式印发实施后，我委将会同有关部门做好市本级政府投资项目工程增量审核工作。</w:t>
      </w:r>
    </w:p>
    <w:p w14:paraId="6DCDD36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default" w:ascii="宋体" w:hAnsi="宋体"/>
          <w:lang w:val="en-US" w:eastAsia="zh-CN"/>
        </w:rPr>
      </w:pPr>
      <w:r>
        <w:rPr>
          <w:rFonts w:hint="eastAsia" w:ascii="宋体" w:hAnsi="宋体" w:eastAsia="仿宋_GB2312"/>
          <w:sz w:val="32"/>
          <w:szCs w:val="32"/>
          <w:lang w:val="en-US" w:eastAsia="zh-CN"/>
        </w:rPr>
        <w:t xml:space="preserve">              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6E682A3-612E-4348-8374-B6569191E5E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718BAD4-B75C-4B0D-9052-3678C21F9377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076058D9-B3AA-413B-8B27-2C495505F7C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D1D6E1">
    <w:pPr>
      <w:spacing w:line="177" w:lineRule="auto"/>
      <w:ind w:left="439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矩形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4AB287"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l1uVLQAAAABQEAAA8AAAAAAAAAAQAgAAAAIgAAAGRycy9kb3ducmV2LnhtbFBLAQIUABQA&#10;AAAIAIdO4kBpWie0vwEAAIwDAAAOAAAAAAAAAAEAIAAAAB8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84AB287"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trackRevisions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FC0AEB"/>
    <w:rsid w:val="1BBEE504"/>
    <w:rsid w:val="2DEC82CF"/>
    <w:rsid w:val="2FC75CD7"/>
    <w:rsid w:val="2FFFDB99"/>
    <w:rsid w:val="373FCF76"/>
    <w:rsid w:val="3A212C84"/>
    <w:rsid w:val="3DF9E3BD"/>
    <w:rsid w:val="3EAB0813"/>
    <w:rsid w:val="3EEFA63B"/>
    <w:rsid w:val="3F437815"/>
    <w:rsid w:val="3FB7C8BA"/>
    <w:rsid w:val="430954CA"/>
    <w:rsid w:val="45C12E43"/>
    <w:rsid w:val="56E927E8"/>
    <w:rsid w:val="5DCE87FB"/>
    <w:rsid w:val="5ED5A008"/>
    <w:rsid w:val="67FF3019"/>
    <w:rsid w:val="6AEFD226"/>
    <w:rsid w:val="6BCBD23E"/>
    <w:rsid w:val="6C691F4C"/>
    <w:rsid w:val="6E1331E1"/>
    <w:rsid w:val="74A70499"/>
    <w:rsid w:val="7765746B"/>
    <w:rsid w:val="7AB78DEF"/>
    <w:rsid w:val="7BBFA7D0"/>
    <w:rsid w:val="7FFD03F0"/>
    <w:rsid w:val="AF7F8D03"/>
    <w:rsid w:val="B34B03EB"/>
    <w:rsid w:val="BCED1AFE"/>
    <w:rsid w:val="BFCD6478"/>
    <w:rsid w:val="BFF9B50E"/>
    <w:rsid w:val="CDFD8B9F"/>
    <w:rsid w:val="CEFBE582"/>
    <w:rsid w:val="D1DC50C3"/>
    <w:rsid w:val="DDBF5C5E"/>
    <w:rsid w:val="ED7E3F82"/>
    <w:rsid w:val="EDEE39F7"/>
    <w:rsid w:val="EFDB5808"/>
    <w:rsid w:val="EFF6BB76"/>
    <w:rsid w:val="F69D1AAC"/>
    <w:rsid w:val="F6EF0463"/>
    <w:rsid w:val="F8AB1629"/>
    <w:rsid w:val="FDCDA952"/>
    <w:rsid w:val="FE852DA0"/>
    <w:rsid w:val="FF3B10B8"/>
    <w:rsid w:val="FF77A8A9"/>
    <w:rsid w:val="FF85A364"/>
    <w:rsid w:val="FFFE9E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</w:style>
  <w:style w:type="paragraph" w:customStyle="1" w:styleId="3">
    <w:name w:val="Default"/>
    <w:qFormat/>
    <w:uiPriority w:val="99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kern w:val="0"/>
      <w:sz w:val="24"/>
      <w:szCs w:val="24"/>
      <w:lang w:val="en-US" w:eastAsia="zh-CN" w:bidi="ar-SA"/>
    </w:rPr>
  </w:style>
  <w:style w:type="paragraph" w:styleId="4">
    <w:name w:val="Body Text Indent"/>
    <w:basedOn w:val="1"/>
    <w:next w:val="5"/>
    <w:qFormat/>
    <w:uiPriority w:val="0"/>
    <w:pPr>
      <w:autoSpaceDN w:val="0"/>
      <w:ind w:firstLine="627" w:firstLineChars="196"/>
    </w:pPr>
    <w:rPr>
      <w:rFonts w:ascii="仿宋_GB2312" w:hAnsi="宋体" w:eastAsia="仿宋_GB2312"/>
      <w:sz w:val="32"/>
    </w:rPr>
  </w:style>
  <w:style w:type="paragraph" w:styleId="5">
    <w:name w:val="Body Text First Indent 2"/>
    <w:basedOn w:val="4"/>
    <w:next w:val="1"/>
    <w:unhideWhenUsed/>
    <w:qFormat/>
    <w:uiPriority w:val="99"/>
    <w:pPr>
      <w:ind w:left="420" w:leftChars="200" w:firstLine="21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Table Text"/>
    <w:basedOn w:val="1"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614</Words>
  <Characters>631</Characters>
  <Lines>0</Lines>
  <Paragraphs>0</Paragraphs>
  <TotalTime>2</TotalTime>
  <ScaleCrop>false</ScaleCrop>
  <LinksUpToDate>false</LinksUpToDate>
  <CharactersWithSpaces>646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2014-11-08T04:08:00Z</dcterms:created>
  <dc:creator>Administrator</dc:creator>
  <cp:lastModifiedBy>小猪</cp:lastModifiedBy>
  <cp:lastPrinted>2025-11-28T18:20:00Z</cp:lastPrinted>
  <dcterms:modified xsi:type="dcterms:W3CDTF">2026-01-06T01:10:35Z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eyJoZGlkIjoiYjkyZThlMDllY2NlZTQ0Y2NmYjZjODMxM2VhNzhiZTkiLCJ1c2VySWQiOiIxMDc3MzUxOTgwIn0=</vt:lpwstr>
  </property>
  <property fmtid="{D5CDD505-2E9C-101B-9397-08002B2CF9AE}" pid="4" name="ICV">
    <vt:lpwstr>9CF4335C2A8E46CDAEED3ECA49D8AF3A_13</vt:lpwstr>
  </property>
</Properties>
</file>