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2D2EAD">
      <w:pPr>
        <w:pStyle w:val="17"/>
        <w:bidi w:val="0"/>
        <w:rPr>
          <w:rFonts w:hint="eastAsia"/>
        </w:rPr>
      </w:pPr>
      <w:r>
        <w:rPr>
          <w:rFonts w:hint="eastAsia"/>
          <w:lang w:eastAsia="zh-CN"/>
        </w:rPr>
        <w:t>中共赣州市委信访局2026</w:t>
      </w:r>
      <w:r>
        <w:rPr>
          <w:rFonts w:hint="eastAsia"/>
        </w:rPr>
        <w:t>年部门预算</w:t>
      </w:r>
    </w:p>
    <w:p w14:paraId="33F5C84C">
      <w:pPr>
        <w:pStyle w:val="14"/>
        <w:spacing w:line="600" w:lineRule="atLeast"/>
        <w:jc w:val="center"/>
        <w:rPr>
          <w:rFonts w:ascii="黑体" w:hAnsi="黑体" w:eastAsia="黑体"/>
          <w:color w:val="000000"/>
          <w:sz w:val="32"/>
          <w:szCs w:val="32"/>
        </w:rPr>
      </w:pPr>
    </w:p>
    <w:p w14:paraId="5D8AE4AE">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2388637F">
      <w:pPr>
        <w:pStyle w:val="14"/>
        <w:rPr>
          <w:rFonts w:ascii="宋体" w:hAnsi="宋体"/>
          <w:color w:val="000000"/>
        </w:rPr>
      </w:pPr>
    </w:p>
    <w:p w14:paraId="7BC89949">
      <w:pPr>
        <w:pStyle w:val="18"/>
        <w:numPr>
          <w:ilvl w:val="0"/>
          <w:numId w:val="0"/>
        </w:numPr>
        <w:bidi w:val="0"/>
        <w:ind w:left="420" w:leftChars="200"/>
        <w:jc w:val="left"/>
        <w:rPr>
          <w:rFonts w:hint="eastAsia"/>
          <w:lang w:eastAsia="zh-CN"/>
        </w:rPr>
      </w:pPr>
      <w:r>
        <w:rPr>
          <w:rFonts w:hint="eastAsia"/>
          <w:lang w:val="en-US" w:eastAsia="zh-CN"/>
        </w:rPr>
        <w:t>第一部分  中共赣州市委信访局概况</w:t>
      </w:r>
    </w:p>
    <w:p w14:paraId="57C060E3">
      <w:pPr>
        <w:pStyle w:val="19"/>
        <w:bidi w:val="0"/>
        <w:rPr>
          <w:rFonts w:hint="eastAsia" w:ascii="仿宋_GB2312" w:hAnsi="仿宋_GB2312" w:eastAsia="仿宋_GB2312" w:cs="仿宋_GB2312"/>
        </w:rPr>
      </w:pPr>
      <w:r>
        <w:rPr>
          <w:rFonts w:hint="eastAsia" w:ascii="仿宋_GB2312" w:hAnsi="仿宋_GB2312" w:eastAsia="仿宋_GB2312" w:cs="仿宋_GB2312"/>
        </w:rPr>
        <w:t>一、部门主要职责</w:t>
      </w:r>
    </w:p>
    <w:p w14:paraId="511DAE3B">
      <w:pPr>
        <w:pStyle w:val="19"/>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12BAA295">
      <w:pPr>
        <w:pStyle w:val="18"/>
        <w:numPr>
          <w:ilvl w:val="0"/>
          <w:numId w:val="0"/>
        </w:numPr>
        <w:bidi w:val="0"/>
        <w:ind w:left="420" w:leftChars="200"/>
        <w:jc w:val="left"/>
        <w:rPr>
          <w:rFonts w:hint="eastAsia"/>
        </w:rPr>
      </w:pPr>
      <w:r>
        <w:rPr>
          <w:rFonts w:hint="eastAsia"/>
        </w:rPr>
        <w:t xml:space="preserve">第二部分  </w:t>
      </w:r>
      <w:r>
        <w:rPr>
          <w:rFonts w:hint="eastAsia"/>
          <w:lang w:eastAsia="zh-CN"/>
        </w:rPr>
        <w:t>中共赣州市委信访局2026</w:t>
      </w:r>
      <w:r>
        <w:rPr>
          <w:rFonts w:hint="eastAsia"/>
        </w:rPr>
        <w:t>年部门预算表</w:t>
      </w:r>
    </w:p>
    <w:p w14:paraId="4050178D">
      <w:pPr>
        <w:pStyle w:val="19"/>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2335DE26">
      <w:pPr>
        <w:pStyle w:val="19"/>
        <w:bidi w:val="0"/>
        <w:rPr>
          <w:rFonts w:hint="eastAsia" w:ascii="仿宋_GB2312" w:hAnsi="仿宋_GB2312" w:eastAsia="仿宋_GB2312" w:cs="仿宋_GB2312"/>
        </w:rPr>
      </w:pPr>
      <w:r>
        <w:rPr>
          <w:rFonts w:hint="eastAsia" w:ascii="仿宋_GB2312" w:hAnsi="仿宋_GB2312" w:eastAsia="仿宋_GB2312" w:cs="仿宋_GB2312"/>
        </w:rPr>
        <w:t>二、《部门收入总表》</w:t>
      </w:r>
    </w:p>
    <w:p w14:paraId="0CBC5C4B">
      <w:pPr>
        <w:pStyle w:val="19"/>
        <w:bidi w:val="0"/>
        <w:rPr>
          <w:rFonts w:hint="eastAsia" w:ascii="仿宋_GB2312" w:hAnsi="仿宋_GB2312" w:eastAsia="仿宋_GB2312" w:cs="仿宋_GB2312"/>
        </w:rPr>
      </w:pPr>
      <w:r>
        <w:rPr>
          <w:rFonts w:hint="eastAsia" w:ascii="仿宋_GB2312" w:hAnsi="仿宋_GB2312" w:eastAsia="仿宋_GB2312" w:cs="仿宋_GB2312"/>
        </w:rPr>
        <w:t>三、《部门支出总表》</w:t>
      </w:r>
    </w:p>
    <w:p w14:paraId="0ED9F92B">
      <w:pPr>
        <w:pStyle w:val="19"/>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5F808DA0">
      <w:pPr>
        <w:pStyle w:val="19"/>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6C8AE7F6">
      <w:pPr>
        <w:pStyle w:val="19"/>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405C188A">
      <w:pPr>
        <w:pStyle w:val="19"/>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45148FA4">
      <w:pPr>
        <w:pStyle w:val="19"/>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7C79A280">
      <w:pPr>
        <w:pStyle w:val="19"/>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579A20A5">
      <w:pPr>
        <w:pStyle w:val="19"/>
        <w:bidi w:val="0"/>
        <w:rPr>
          <w:rFonts w:hint="eastAsia" w:ascii="仿宋_GB2312" w:hAnsi="仿宋_GB2312" w:eastAsia="仿宋_GB2312" w:cs="仿宋_GB2312"/>
        </w:rPr>
      </w:pPr>
      <w:r>
        <w:rPr>
          <w:rFonts w:hint="eastAsia" w:ascii="仿宋_GB2312" w:hAnsi="仿宋_GB2312" w:eastAsia="仿宋_GB2312" w:cs="仿宋_GB2312"/>
        </w:rPr>
        <w:t>十、《部门整体绩效目标》</w:t>
      </w:r>
    </w:p>
    <w:p w14:paraId="5E2EE8E8">
      <w:pPr>
        <w:pStyle w:val="19"/>
        <w:bidi w:val="0"/>
        <w:rPr>
          <w:rFonts w:hint="eastAsia" w:ascii="仿宋_GB2312" w:hAnsi="仿宋_GB2312" w:eastAsia="仿宋_GB2312" w:cs="仿宋_GB2312"/>
        </w:rPr>
      </w:pPr>
      <w:r>
        <w:rPr>
          <w:rFonts w:hint="eastAsia" w:ascii="仿宋_GB2312" w:hAnsi="仿宋_GB2312" w:eastAsia="仿宋_GB2312" w:cs="仿宋_GB2312"/>
        </w:rPr>
        <w:t>十一、《项目绩效目标</w:t>
      </w:r>
      <w:r>
        <w:rPr>
          <w:rFonts w:hint="eastAsia" w:cs="仿宋_GB2312"/>
          <w:lang w:val="en-US" w:eastAsia="zh-CN"/>
        </w:rPr>
        <w:t>表</w:t>
      </w:r>
      <w:r>
        <w:rPr>
          <w:rFonts w:hint="eastAsia" w:ascii="仿宋_GB2312" w:hAnsi="仿宋_GB2312" w:eastAsia="仿宋_GB2312" w:cs="仿宋_GB2312"/>
        </w:rPr>
        <w:t>》</w:t>
      </w:r>
    </w:p>
    <w:p w14:paraId="58914664">
      <w:pPr>
        <w:pStyle w:val="19"/>
        <w:bidi w:val="0"/>
        <w:rPr>
          <w:rFonts w:hint="eastAsia" w:ascii="仿宋_GB2312" w:hAnsi="仿宋_GB2312" w:eastAsia="仿宋_GB2312" w:cs="仿宋_GB2312"/>
        </w:rPr>
      </w:pPr>
    </w:p>
    <w:p w14:paraId="7BC0B30D">
      <w:pPr>
        <w:pStyle w:val="18"/>
        <w:numPr>
          <w:ilvl w:val="0"/>
          <w:numId w:val="0"/>
        </w:numPr>
        <w:bidi w:val="0"/>
        <w:ind w:left="420" w:leftChars="200"/>
        <w:jc w:val="left"/>
        <w:rPr>
          <w:rFonts w:hint="eastAsia"/>
          <w:lang w:eastAsia="zh-CN"/>
        </w:rPr>
      </w:pPr>
      <w:r>
        <w:rPr>
          <w:rFonts w:hint="eastAsia"/>
          <w:lang w:eastAsia="zh-CN"/>
        </w:rPr>
        <w:t>第三部分 中共赣州市委信访局 2026年部门预算情况说明</w:t>
      </w:r>
    </w:p>
    <w:p w14:paraId="41587ECA">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年部门预算收支情况说明</w:t>
      </w:r>
    </w:p>
    <w:p w14:paraId="0C853164">
      <w:pPr>
        <w:pStyle w:val="19"/>
        <w:bidi w:val="0"/>
        <w:rPr>
          <w:rFonts w:ascii="Adobe 仿宋 Std R" w:hAnsi="Adobe 仿宋 Std R" w:eastAsia="Adobe 仿宋 Std R" w:cstheme="minorBidi"/>
          <w:kern w:val="2"/>
          <w:sz w:val="32"/>
          <w:szCs w:val="30"/>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5D466192">
      <w:pPr>
        <w:pStyle w:val="18"/>
        <w:numPr>
          <w:ilvl w:val="0"/>
          <w:numId w:val="0"/>
        </w:numPr>
        <w:bidi w:val="0"/>
        <w:ind w:left="420" w:leftChars="200"/>
        <w:jc w:val="left"/>
        <w:rPr>
          <w:rFonts w:hint="eastAsia"/>
          <w:lang w:eastAsia="zh-CN"/>
        </w:rPr>
      </w:pPr>
      <w:r>
        <w:rPr>
          <w:rFonts w:hint="eastAsia"/>
          <w:lang w:eastAsia="zh-CN"/>
        </w:rPr>
        <w:t>第四部分  名词解释</w:t>
      </w:r>
    </w:p>
    <w:p w14:paraId="3CF24354">
      <w:pPr>
        <w:widowControl/>
        <w:spacing w:line="580" w:lineRule="exact"/>
        <w:jc w:val="center"/>
        <w:rPr>
          <w:rFonts w:ascii="仿宋_GB2312" w:eastAsia="仿宋_GB2312"/>
          <w:b/>
          <w:sz w:val="32"/>
          <w:szCs w:val="30"/>
        </w:rPr>
      </w:pPr>
    </w:p>
    <w:p w14:paraId="460B575C">
      <w:pPr>
        <w:widowControl/>
        <w:spacing w:line="580" w:lineRule="exact"/>
        <w:jc w:val="center"/>
        <w:rPr>
          <w:rFonts w:ascii="仿宋_GB2312" w:eastAsia="仿宋_GB2312"/>
          <w:b/>
          <w:sz w:val="32"/>
          <w:szCs w:val="30"/>
        </w:rPr>
      </w:pPr>
    </w:p>
    <w:p w14:paraId="45496DBF">
      <w:pPr>
        <w:pStyle w:val="2"/>
        <w:rPr>
          <w:rFonts w:ascii="仿宋_GB2312" w:eastAsia="仿宋_GB2312"/>
          <w:b/>
          <w:sz w:val="32"/>
          <w:szCs w:val="30"/>
        </w:rPr>
      </w:pPr>
    </w:p>
    <w:p w14:paraId="526A67EB">
      <w:pPr>
        <w:pStyle w:val="2"/>
        <w:rPr>
          <w:rFonts w:ascii="仿宋_GB2312" w:eastAsia="仿宋_GB2312"/>
          <w:b/>
          <w:sz w:val="32"/>
          <w:szCs w:val="30"/>
        </w:rPr>
      </w:pPr>
    </w:p>
    <w:p w14:paraId="67739248">
      <w:pPr>
        <w:pStyle w:val="2"/>
        <w:rPr>
          <w:rFonts w:ascii="仿宋_GB2312" w:eastAsia="仿宋_GB2312"/>
          <w:b/>
          <w:sz w:val="32"/>
          <w:szCs w:val="30"/>
        </w:rPr>
      </w:pPr>
    </w:p>
    <w:p w14:paraId="7B18FFBB">
      <w:pPr>
        <w:pStyle w:val="2"/>
        <w:rPr>
          <w:rFonts w:ascii="仿宋_GB2312" w:eastAsia="仿宋_GB2312"/>
          <w:b/>
          <w:sz w:val="32"/>
          <w:szCs w:val="30"/>
        </w:rPr>
      </w:pPr>
    </w:p>
    <w:p w14:paraId="32DB2180">
      <w:pPr>
        <w:pStyle w:val="2"/>
        <w:rPr>
          <w:rFonts w:ascii="仿宋_GB2312" w:eastAsia="仿宋_GB2312"/>
          <w:b/>
          <w:sz w:val="32"/>
          <w:szCs w:val="30"/>
        </w:rPr>
      </w:pPr>
    </w:p>
    <w:p w14:paraId="47F0DC80">
      <w:pPr>
        <w:pStyle w:val="2"/>
        <w:rPr>
          <w:rFonts w:ascii="仿宋_GB2312" w:eastAsia="仿宋_GB2312"/>
          <w:b/>
          <w:sz w:val="32"/>
          <w:szCs w:val="30"/>
        </w:rPr>
      </w:pPr>
    </w:p>
    <w:p w14:paraId="3B545EAA">
      <w:pPr>
        <w:pStyle w:val="2"/>
        <w:rPr>
          <w:rFonts w:ascii="仿宋_GB2312" w:eastAsia="仿宋_GB2312"/>
          <w:b/>
          <w:sz w:val="32"/>
          <w:szCs w:val="30"/>
        </w:rPr>
      </w:pPr>
    </w:p>
    <w:p w14:paraId="3CE4814A">
      <w:pPr>
        <w:pStyle w:val="2"/>
        <w:rPr>
          <w:rFonts w:ascii="仿宋_GB2312" w:eastAsia="仿宋_GB2312"/>
          <w:b/>
          <w:sz w:val="32"/>
          <w:szCs w:val="30"/>
        </w:rPr>
      </w:pPr>
    </w:p>
    <w:p w14:paraId="60806225">
      <w:pPr>
        <w:pStyle w:val="2"/>
        <w:rPr>
          <w:rFonts w:ascii="仿宋_GB2312" w:eastAsia="仿宋_GB2312"/>
          <w:b/>
          <w:sz w:val="32"/>
          <w:szCs w:val="30"/>
        </w:rPr>
      </w:pPr>
    </w:p>
    <w:p w14:paraId="2D990718">
      <w:pPr>
        <w:pStyle w:val="2"/>
        <w:rPr>
          <w:rFonts w:ascii="仿宋_GB2312" w:eastAsia="仿宋_GB2312"/>
          <w:b/>
          <w:sz w:val="32"/>
          <w:szCs w:val="30"/>
        </w:rPr>
      </w:pPr>
    </w:p>
    <w:p w14:paraId="7889E6DE">
      <w:pPr>
        <w:pStyle w:val="2"/>
        <w:rPr>
          <w:rFonts w:ascii="仿宋_GB2312" w:eastAsia="仿宋_GB2312"/>
          <w:b/>
          <w:sz w:val="32"/>
          <w:szCs w:val="30"/>
        </w:rPr>
      </w:pPr>
    </w:p>
    <w:p w14:paraId="108E26A9">
      <w:pPr>
        <w:pStyle w:val="18"/>
        <w:numPr>
          <w:ilvl w:val="0"/>
          <w:numId w:val="0"/>
        </w:numPr>
        <w:bidi w:val="0"/>
        <w:ind w:left="420" w:leftChars="200"/>
        <w:jc w:val="center"/>
        <w:rPr>
          <w:rFonts w:hint="eastAsia"/>
          <w:lang w:eastAsia="zh-CN"/>
        </w:rPr>
      </w:pPr>
      <w:r>
        <w:rPr>
          <w:rFonts w:hint="eastAsia"/>
          <w:lang w:eastAsia="zh-CN"/>
        </w:rPr>
        <w:t>第一部分  中共赣州市委信访局概况</w:t>
      </w:r>
    </w:p>
    <w:p w14:paraId="0B26D6C1">
      <w:pPr>
        <w:widowControl/>
        <w:spacing w:line="580" w:lineRule="exact"/>
        <w:jc w:val="left"/>
        <w:rPr>
          <w:rFonts w:asciiTheme="minorEastAsia" w:hAnsiTheme="minorEastAsia"/>
          <w:b/>
          <w:sz w:val="36"/>
          <w:szCs w:val="36"/>
        </w:rPr>
      </w:pPr>
    </w:p>
    <w:p w14:paraId="127A595C">
      <w:pPr>
        <w:pStyle w:val="18"/>
        <w:numPr>
          <w:ilvl w:val="0"/>
          <w:numId w:val="0"/>
        </w:numPr>
        <w:bidi w:val="0"/>
        <w:ind w:left="420" w:leftChars="200" w:firstLine="320" w:firstLineChars="100"/>
        <w:rPr>
          <w:rFonts w:hint="eastAsia"/>
        </w:rPr>
      </w:pPr>
      <w:r>
        <w:rPr>
          <w:rFonts w:hint="eastAsia"/>
        </w:rPr>
        <w:t>一、部门主要职责</w:t>
      </w:r>
    </w:p>
    <w:p w14:paraId="32D7D8B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宋体" w:hAnsi="宋体" w:eastAsia="仿宋_GB2312" w:cs="仿宋_GB2312"/>
          <w:sz w:val="32"/>
          <w:szCs w:val="32"/>
        </w:rPr>
      </w:pPr>
      <w:r>
        <w:rPr>
          <w:rFonts w:hint="eastAsia" w:ascii="宋体" w:hAnsi="宋体" w:eastAsia="仿宋_GB2312" w:cs="仿宋_GB2312"/>
          <w:sz w:val="32"/>
          <w:szCs w:val="32"/>
        </w:rPr>
        <w:t>中共赣州市委信访局是市委主管信访工作的工作机构，归口市委管理，业务上接受市委办公室、市政府办公室指导。主要职责如下：</w:t>
      </w:r>
    </w:p>
    <w:p w14:paraId="1CE3235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宋体" w:hAnsi="宋体" w:eastAsia="仿宋_GB2312" w:cs="仿宋_GB2312"/>
          <w:sz w:val="32"/>
          <w:szCs w:val="32"/>
        </w:rPr>
      </w:pPr>
      <w:r>
        <w:rPr>
          <w:rFonts w:hint="eastAsia" w:ascii="宋体" w:hAnsi="宋体" w:eastAsia="仿宋_GB2312" w:cs="仿宋_GB2312"/>
          <w:bCs/>
          <w:sz w:val="32"/>
          <w:szCs w:val="32"/>
        </w:rPr>
        <w:t>（一）</w:t>
      </w:r>
      <w:r>
        <w:rPr>
          <w:rFonts w:hint="eastAsia" w:ascii="宋体" w:hAnsi="宋体" w:eastAsia="仿宋_GB2312" w:cs="仿宋_GB2312"/>
          <w:sz w:val="32"/>
          <w:szCs w:val="32"/>
        </w:rPr>
        <w:t>贯彻执行党和国家关于信访工作的方针、政策和法律、法规，以及省委、省政府和市委、市政府的决策部署，坚决维护党中央的集中统一领导。</w:t>
      </w:r>
    </w:p>
    <w:p w14:paraId="64B4F9C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宋体" w:hAnsi="宋体" w:eastAsia="仿宋_GB2312" w:cs="仿宋_GB2312"/>
          <w:sz w:val="32"/>
          <w:szCs w:val="32"/>
        </w:rPr>
      </w:pPr>
      <w:r>
        <w:rPr>
          <w:rFonts w:hint="eastAsia" w:ascii="宋体" w:hAnsi="宋体" w:eastAsia="仿宋_GB2312" w:cs="仿宋_GB2312"/>
          <w:bCs/>
          <w:sz w:val="32"/>
          <w:szCs w:val="32"/>
        </w:rPr>
        <w:t>（二）</w:t>
      </w:r>
      <w:r>
        <w:rPr>
          <w:rFonts w:hint="eastAsia" w:ascii="宋体" w:hAnsi="宋体" w:eastAsia="仿宋_GB2312" w:cs="仿宋_GB2312"/>
          <w:sz w:val="32"/>
          <w:szCs w:val="32"/>
        </w:rPr>
        <w:t>接待到市委、市政府上访的群众，接收群众写给市委、市政府主要领导同志和市委信访局等的来信，群众通过互联网向市长信箱、市网上信访等渠道反映的投诉请求，向信访人提供信访咨询服务。</w:t>
      </w:r>
    </w:p>
    <w:p w14:paraId="1AC4321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宋体" w:hAnsi="宋体" w:eastAsia="仿宋_GB2312" w:cs="仿宋_GB2312"/>
          <w:sz w:val="32"/>
          <w:szCs w:val="32"/>
        </w:rPr>
      </w:pPr>
      <w:r>
        <w:rPr>
          <w:rFonts w:hint="eastAsia" w:ascii="宋体" w:hAnsi="宋体" w:eastAsia="仿宋_GB2312" w:cs="仿宋_GB2312"/>
          <w:bCs/>
          <w:sz w:val="32"/>
          <w:szCs w:val="32"/>
        </w:rPr>
        <w:t>（三）</w:t>
      </w:r>
      <w:r>
        <w:rPr>
          <w:rFonts w:hint="eastAsia" w:ascii="宋体" w:hAnsi="宋体" w:eastAsia="仿宋_GB2312" w:cs="仿宋_GB2312"/>
          <w:sz w:val="32"/>
          <w:szCs w:val="32"/>
        </w:rPr>
        <w:t>受理办理信访人直接提出和上级信访等部门转送的信访事项，向市直部门和县（市、区）转送、交办、督办有关信访事项，督促检查信访事项的处理；承办上级机关和本级党委、政府及领导同志交办的信访事项，及时反馈处理结果；督促检查重要信访事项的处理和落实，并审核调查处理结果。</w:t>
      </w:r>
    </w:p>
    <w:p w14:paraId="3A8744D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宋体" w:hAnsi="宋体" w:eastAsia="仿宋_GB2312" w:cs="仿宋_GB2312"/>
          <w:sz w:val="32"/>
          <w:szCs w:val="32"/>
        </w:rPr>
      </w:pPr>
      <w:r>
        <w:rPr>
          <w:rFonts w:hint="eastAsia" w:ascii="宋体" w:hAnsi="宋体" w:eastAsia="仿宋_GB2312" w:cs="仿宋_GB2312"/>
          <w:bCs/>
          <w:sz w:val="32"/>
          <w:szCs w:val="32"/>
        </w:rPr>
        <w:t>（四）</w:t>
      </w:r>
      <w:r>
        <w:rPr>
          <w:rFonts w:hint="eastAsia" w:ascii="宋体" w:hAnsi="宋体" w:eastAsia="仿宋_GB2312" w:cs="仿宋_GB2312"/>
          <w:sz w:val="32"/>
          <w:szCs w:val="32"/>
        </w:rPr>
        <w:t>协调处理紧急重大信访问题和跨地区、跨部门、跨行业信访事项，组织协调有关部门联合调查处理和做好息诉稳定工作。</w:t>
      </w:r>
    </w:p>
    <w:p w14:paraId="1D3201F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宋体" w:hAnsi="宋体" w:eastAsia="仿宋_GB2312" w:cs="仿宋_GB2312"/>
          <w:sz w:val="32"/>
          <w:szCs w:val="32"/>
        </w:rPr>
      </w:pPr>
      <w:r>
        <w:rPr>
          <w:rFonts w:hint="eastAsia" w:ascii="宋体" w:hAnsi="宋体" w:eastAsia="仿宋_GB2312" w:cs="仿宋_GB2312"/>
          <w:bCs/>
          <w:sz w:val="32"/>
          <w:szCs w:val="32"/>
        </w:rPr>
        <w:t>（五）</w:t>
      </w:r>
      <w:r>
        <w:rPr>
          <w:rFonts w:hint="eastAsia" w:ascii="宋体" w:hAnsi="宋体" w:eastAsia="仿宋_GB2312" w:cs="仿宋_GB2312"/>
          <w:sz w:val="32"/>
          <w:szCs w:val="32"/>
        </w:rPr>
        <w:t>及时、准确地向市委、市政府报告群众来信、来访和网上信访中提出的重要建议、意见和问题；综合分析信访动态和信息，开展调查研究，提出问题处理的意见建议；对相关单位提出改进工作、完善政策、给予处分的建议，积极推动信访工作责任制的落实。</w:t>
      </w:r>
    </w:p>
    <w:p w14:paraId="4998BFE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宋体" w:hAnsi="宋体" w:eastAsia="仿宋_GB2312" w:cs="仿宋_GB2312"/>
          <w:sz w:val="32"/>
          <w:szCs w:val="32"/>
        </w:rPr>
      </w:pPr>
      <w:r>
        <w:rPr>
          <w:rFonts w:hint="eastAsia" w:ascii="宋体" w:hAnsi="宋体" w:eastAsia="仿宋_GB2312" w:cs="仿宋_GB2312"/>
          <w:bCs/>
          <w:sz w:val="32"/>
          <w:szCs w:val="32"/>
        </w:rPr>
        <w:t>（六）</w:t>
      </w:r>
      <w:r>
        <w:rPr>
          <w:rFonts w:hint="eastAsia" w:ascii="宋体" w:hAnsi="宋体" w:eastAsia="仿宋_GB2312" w:cs="仿宋_GB2312"/>
          <w:sz w:val="32"/>
          <w:szCs w:val="32"/>
        </w:rPr>
        <w:t>按要求做好国家和省市重要会议及活动的信访工作，组织开展信访矛盾排查梳理，积极推动调处化解，及时向市委、市政府报告重大矛盾排查调处情况。</w:t>
      </w:r>
    </w:p>
    <w:p w14:paraId="225364D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宋体" w:hAnsi="宋体" w:eastAsia="仿宋_GB2312" w:cs="仿宋_GB2312"/>
          <w:sz w:val="32"/>
          <w:szCs w:val="32"/>
        </w:rPr>
      </w:pPr>
      <w:r>
        <w:rPr>
          <w:rFonts w:hint="eastAsia" w:ascii="宋体" w:hAnsi="宋体" w:eastAsia="仿宋_GB2312" w:cs="仿宋_GB2312"/>
          <w:bCs/>
          <w:sz w:val="32"/>
          <w:szCs w:val="32"/>
        </w:rPr>
        <w:t>（七）</w:t>
      </w:r>
      <w:r>
        <w:rPr>
          <w:rFonts w:hint="eastAsia" w:ascii="宋体" w:hAnsi="宋体" w:eastAsia="仿宋_GB2312" w:cs="仿宋_GB2312"/>
          <w:sz w:val="32"/>
          <w:szCs w:val="32"/>
        </w:rPr>
        <w:t>承办市政府复查复核委员会办公室的日常工作，审核、受理群众向市政府提出的复查复核信访事项。</w:t>
      </w:r>
    </w:p>
    <w:p w14:paraId="31B0C1C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宋体" w:hAnsi="宋体" w:eastAsia="仿宋_GB2312" w:cs="仿宋_GB2312"/>
          <w:sz w:val="32"/>
          <w:szCs w:val="32"/>
        </w:rPr>
      </w:pPr>
      <w:r>
        <w:rPr>
          <w:rFonts w:hint="eastAsia" w:ascii="宋体" w:hAnsi="宋体" w:eastAsia="仿宋_GB2312" w:cs="仿宋_GB2312"/>
          <w:bCs/>
          <w:sz w:val="32"/>
          <w:szCs w:val="32"/>
        </w:rPr>
        <w:t>（八）</w:t>
      </w:r>
      <w:r>
        <w:rPr>
          <w:rFonts w:hint="eastAsia" w:ascii="宋体" w:hAnsi="宋体" w:eastAsia="仿宋_GB2312" w:cs="仿宋_GB2312"/>
          <w:sz w:val="32"/>
          <w:szCs w:val="32"/>
        </w:rPr>
        <w:t>承担市信访工作联席会议的日常工作，督促、检查、指导全市信访业务工作和信访信息化建设；对本地信访工作情况进行年度考核；掌握信访干部队伍建设情况，组织开展信访干部业务培训；负责信访工作宣传、信息发布和经验交流。</w:t>
      </w:r>
    </w:p>
    <w:p w14:paraId="1CD3C120">
      <w:pPr>
        <w:pStyle w:val="19"/>
        <w:bidi w:val="0"/>
        <w:rPr>
          <w:rFonts w:hint="eastAsia" w:ascii="仿宋_GB2312" w:hAnsi="仿宋_GB2312" w:eastAsia="仿宋_GB2312" w:cs="仿宋_GB2312"/>
        </w:rPr>
      </w:pPr>
      <w:r>
        <w:rPr>
          <w:rFonts w:hint="eastAsia" w:ascii="宋体" w:hAnsi="宋体" w:eastAsia="仿宋_GB2312" w:cs="仿宋_GB2312"/>
          <w:bCs/>
          <w:sz w:val="32"/>
          <w:szCs w:val="32"/>
        </w:rPr>
        <w:t>（九）</w:t>
      </w:r>
      <w:r>
        <w:rPr>
          <w:rFonts w:hint="eastAsia" w:ascii="宋体" w:hAnsi="宋体" w:eastAsia="仿宋_GB2312" w:cs="仿宋_GB2312"/>
          <w:sz w:val="32"/>
          <w:szCs w:val="32"/>
        </w:rPr>
        <w:t>完成市委、市政府交办的其他任务。</w:t>
      </w:r>
    </w:p>
    <w:p w14:paraId="62CB561B">
      <w:pPr>
        <w:pStyle w:val="18"/>
        <w:numPr>
          <w:ilvl w:val="0"/>
          <w:numId w:val="0"/>
        </w:numPr>
        <w:bidi w:val="0"/>
        <w:ind w:left="420" w:leftChars="200" w:firstLine="320" w:firstLineChars="100"/>
        <w:rPr>
          <w:rFonts w:hint="eastAsia"/>
        </w:rPr>
      </w:pPr>
      <w:r>
        <w:rPr>
          <w:rFonts w:hint="eastAsia"/>
        </w:rPr>
        <w:t>二、机构设置及人员情况</w:t>
      </w:r>
    </w:p>
    <w:p w14:paraId="3BCC3960">
      <w:pPr>
        <w:pStyle w:val="19"/>
        <w:bidi w:val="0"/>
        <w:rPr>
          <w:rFonts w:hint="eastAsia" w:ascii="仿宋_GB2312" w:hAnsi="仿宋_GB2312" w:eastAsia="仿宋_GB2312" w:cs="仿宋_GB2312"/>
        </w:rPr>
      </w:pPr>
      <w:r>
        <w:rPr>
          <w:rFonts w:hint="eastAsia" w:ascii="仿宋_GB2312" w:hAnsi="仿宋_GB2312" w:eastAsia="仿宋_GB2312" w:cs="仿宋_GB2312"/>
          <w:lang w:eastAsia="zh-CN"/>
        </w:rPr>
        <w:t>中共赣州市委信访局共有预算单位1个，包括中共赣州市委信访局</w:t>
      </w:r>
      <w:r>
        <w:rPr>
          <w:rFonts w:hint="eastAsia" w:ascii="仿宋_GB2312" w:hAnsi="仿宋_GB2312" w:eastAsia="仿宋_GB2312" w:cs="仿宋_GB2312"/>
        </w:rPr>
        <w:t>。</w:t>
      </w:r>
    </w:p>
    <w:p w14:paraId="2A45E303">
      <w:pPr>
        <w:pStyle w:val="19"/>
        <w:bidi w:val="0"/>
        <w:rPr>
          <w:rFonts w:hint="eastAsia" w:ascii="仿宋_GB2312" w:hAnsi="仿宋_GB2312" w:eastAsia="仿宋_GB2312" w:cs="仿宋_GB2312"/>
        </w:rPr>
      </w:pPr>
      <w:r>
        <w:rPr>
          <w:rFonts w:hint="default" w:ascii="Times New Roman" w:hAnsi="Times New Roman" w:eastAsia="仿宋_GB2312" w:cs="Times New Roman"/>
          <w:bCs/>
          <w:color w:val="auto"/>
          <w:sz w:val="32"/>
          <w:szCs w:val="32"/>
        </w:rPr>
        <w:t>编制人数小计</w:t>
      </w:r>
      <w:r>
        <w:rPr>
          <w:rFonts w:hint="eastAsia" w:ascii="Times New Roman" w:hAnsi="Times New Roman" w:cs="Times New Roman"/>
          <w:bCs/>
          <w:color w:val="auto"/>
          <w:sz w:val="32"/>
          <w:szCs w:val="32"/>
          <w:lang w:val="en-US" w:eastAsia="zh-CN"/>
        </w:rPr>
        <w:t>31</w:t>
      </w:r>
      <w:r>
        <w:rPr>
          <w:rFonts w:hint="default" w:ascii="Times New Roman" w:hAnsi="Times New Roman" w:eastAsia="仿宋_GB2312" w:cs="Times New Roman"/>
          <w:bCs/>
          <w:color w:val="auto"/>
          <w:sz w:val="32"/>
          <w:szCs w:val="32"/>
        </w:rPr>
        <w:t>人，其中：行政编制人数</w:t>
      </w:r>
      <w:r>
        <w:rPr>
          <w:rFonts w:hint="eastAsia" w:ascii="Times New Roman" w:hAnsi="Times New Roman" w:eastAsia="仿宋_GB2312" w:cs="Times New Roman"/>
          <w:bCs/>
          <w:color w:val="auto"/>
          <w:sz w:val="32"/>
          <w:szCs w:val="32"/>
          <w:lang w:val="en-US" w:eastAsia="zh-CN"/>
        </w:rPr>
        <w:t>19</w:t>
      </w:r>
      <w:r>
        <w:rPr>
          <w:rFonts w:hint="default" w:ascii="Times New Roman" w:hAnsi="Times New Roman" w:eastAsia="仿宋_GB2312" w:cs="Times New Roman"/>
          <w:bCs/>
          <w:color w:val="auto"/>
          <w:sz w:val="32"/>
          <w:szCs w:val="32"/>
        </w:rPr>
        <w:t>人，参照公务员法管理的事业编制人数</w:t>
      </w:r>
      <w:r>
        <w:rPr>
          <w:rFonts w:hint="eastAsia" w:ascii="Times New Roman" w:hAnsi="Times New Roman" w:eastAsia="仿宋_GB2312" w:cs="Times New Roman"/>
          <w:bCs/>
          <w:color w:val="auto"/>
          <w:sz w:val="32"/>
          <w:szCs w:val="32"/>
          <w:lang w:val="en-US" w:eastAsia="zh-CN"/>
        </w:rPr>
        <w:t>0</w:t>
      </w:r>
      <w:r>
        <w:rPr>
          <w:rFonts w:hint="default" w:ascii="Times New Roman" w:hAnsi="Times New Roman" w:eastAsia="仿宋_GB2312" w:cs="Times New Roman"/>
          <w:bCs/>
          <w:color w:val="auto"/>
          <w:sz w:val="32"/>
          <w:szCs w:val="32"/>
        </w:rPr>
        <w:t>人，事业编制人数</w:t>
      </w:r>
      <w:r>
        <w:rPr>
          <w:rFonts w:hint="eastAsia" w:ascii="Times New Roman" w:hAnsi="Times New Roman" w:eastAsia="仿宋_GB2312" w:cs="Times New Roman"/>
          <w:bCs/>
          <w:color w:val="auto"/>
          <w:sz w:val="32"/>
          <w:szCs w:val="32"/>
          <w:lang w:val="en-US" w:eastAsia="zh-CN"/>
        </w:rPr>
        <w:t>1</w:t>
      </w:r>
      <w:r>
        <w:rPr>
          <w:rFonts w:hint="eastAsia" w:ascii="Times New Roman" w:hAnsi="Times New Roman" w:cs="Times New Roman"/>
          <w:bCs/>
          <w:color w:val="auto"/>
          <w:sz w:val="32"/>
          <w:szCs w:val="32"/>
          <w:lang w:val="en-US" w:eastAsia="zh-CN"/>
        </w:rPr>
        <w:t>2</w:t>
      </w:r>
      <w:r>
        <w:rPr>
          <w:rFonts w:hint="default" w:ascii="Times New Roman" w:hAnsi="Times New Roman" w:eastAsia="仿宋_GB2312" w:cs="Times New Roman"/>
          <w:bCs/>
          <w:color w:val="auto"/>
          <w:sz w:val="32"/>
          <w:szCs w:val="32"/>
        </w:rPr>
        <w:t>人。实有人数</w:t>
      </w:r>
      <w:r>
        <w:rPr>
          <w:rFonts w:hint="eastAsia" w:ascii="Times New Roman" w:hAnsi="Times New Roman" w:eastAsia="仿宋_GB2312" w:cs="Times New Roman"/>
          <w:bCs/>
          <w:color w:val="auto"/>
          <w:sz w:val="32"/>
          <w:szCs w:val="32"/>
          <w:lang w:eastAsia="zh-CN"/>
        </w:rPr>
        <w:t>小计</w:t>
      </w:r>
      <w:r>
        <w:rPr>
          <w:rFonts w:hint="eastAsia" w:ascii="Times New Roman" w:hAnsi="Times New Roman" w:cs="Times New Roman"/>
          <w:bCs/>
          <w:color w:val="auto"/>
          <w:sz w:val="32"/>
          <w:szCs w:val="32"/>
          <w:lang w:val="en-US" w:eastAsia="zh-CN"/>
        </w:rPr>
        <w:t>29</w:t>
      </w:r>
      <w:r>
        <w:rPr>
          <w:rFonts w:hint="default" w:ascii="Times New Roman" w:hAnsi="Times New Roman" w:eastAsia="仿宋_GB2312" w:cs="Times New Roman"/>
          <w:bCs/>
          <w:color w:val="auto"/>
          <w:sz w:val="32"/>
          <w:szCs w:val="32"/>
        </w:rPr>
        <w:t>人，其中：在职人数小计</w:t>
      </w:r>
      <w:r>
        <w:rPr>
          <w:rFonts w:hint="eastAsia" w:ascii="Times New Roman" w:hAnsi="Times New Roman" w:eastAsia="仿宋_GB2312" w:cs="Times New Roman"/>
          <w:bCs/>
          <w:color w:val="auto"/>
          <w:sz w:val="32"/>
          <w:szCs w:val="32"/>
          <w:lang w:val="en-US" w:eastAsia="zh-CN"/>
        </w:rPr>
        <w:t>2</w:t>
      </w:r>
      <w:r>
        <w:rPr>
          <w:rFonts w:hint="eastAsia" w:ascii="Times New Roman" w:hAnsi="Times New Roman" w:cs="Times New Roman"/>
          <w:bCs/>
          <w:color w:val="auto"/>
          <w:sz w:val="32"/>
          <w:szCs w:val="32"/>
          <w:lang w:val="en-US" w:eastAsia="zh-CN"/>
        </w:rPr>
        <w:t>9</w:t>
      </w:r>
      <w:r>
        <w:rPr>
          <w:rFonts w:hint="default" w:ascii="Times New Roman" w:hAnsi="Times New Roman" w:eastAsia="仿宋_GB2312" w:cs="Times New Roman"/>
          <w:bCs/>
          <w:color w:val="auto"/>
          <w:sz w:val="32"/>
          <w:szCs w:val="32"/>
        </w:rPr>
        <w:t>人，行政在职人数</w:t>
      </w:r>
      <w:r>
        <w:rPr>
          <w:rFonts w:hint="eastAsia" w:ascii="Times New Roman" w:hAnsi="Times New Roman" w:eastAsia="仿宋_GB2312" w:cs="Times New Roman"/>
          <w:bCs/>
          <w:color w:val="auto"/>
          <w:sz w:val="32"/>
          <w:szCs w:val="32"/>
          <w:lang w:val="en-US" w:eastAsia="zh-CN"/>
        </w:rPr>
        <w:t>1</w:t>
      </w:r>
      <w:r>
        <w:rPr>
          <w:rFonts w:hint="eastAsia" w:ascii="Times New Roman" w:hAnsi="Times New Roman" w:cs="Times New Roman"/>
          <w:bCs/>
          <w:color w:val="auto"/>
          <w:sz w:val="32"/>
          <w:szCs w:val="32"/>
          <w:lang w:val="en-US" w:eastAsia="zh-CN"/>
        </w:rPr>
        <w:t>9</w:t>
      </w:r>
      <w:r>
        <w:rPr>
          <w:rFonts w:hint="default" w:ascii="Times New Roman" w:hAnsi="Times New Roman" w:eastAsia="仿宋_GB2312" w:cs="Times New Roman"/>
          <w:bCs/>
          <w:color w:val="auto"/>
          <w:sz w:val="32"/>
          <w:szCs w:val="32"/>
        </w:rPr>
        <w:t>人，参照公务员法管理的事业单位在职人数</w:t>
      </w:r>
      <w:r>
        <w:rPr>
          <w:rFonts w:hint="eastAsia" w:ascii="Times New Roman" w:hAnsi="Times New Roman" w:eastAsia="仿宋_GB2312" w:cs="Times New Roman"/>
          <w:bCs/>
          <w:color w:val="auto"/>
          <w:sz w:val="32"/>
          <w:szCs w:val="32"/>
          <w:lang w:val="en-US" w:eastAsia="zh-CN"/>
        </w:rPr>
        <w:t>0</w:t>
      </w:r>
      <w:r>
        <w:rPr>
          <w:rFonts w:hint="default" w:ascii="Times New Roman" w:hAnsi="Times New Roman" w:eastAsia="仿宋_GB2312" w:cs="Times New Roman"/>
          <w:bCs/>
          <w:color w:val="auto"/>
          <w:sz w:val="32"/>
          <w:szCs w:val="32"/>
        </w:rPr>
        <w:t>人，事业单位在职人数</w:t>
      </w:r>
      <w:r>
        <w:rPr>
          <w:rFonts w:hint="eastAsia" w:ascii="Times New Roman" w:hAnsi="Times New Roman" w:cs="Times New Roman"/>
          <w:bCs/>
          <w:color w:val="auto"/>
          <w:sz w:val="32"/>
          <w:szCs w:val="32"/>
          <w:lang w:val="en-US" w:eastAsia="zh-CN"/>
        </w:rPr>
        <w:t>10</w:t>
      </w:r>
      <w:r>
        <w:rPr>
          <w:rFonts w:hint="default" w:ascii="Times New Roman" w:hAnsi="Times New Roman" w:eastAsia="仿宋_GB2312" w:cs="Times New Roman"/>
          <w:bCs/>
          <w:color w:val="auto"/>
          <w:sz w:val="32"/>
          <w:szCs w:val="32"/>
        </w:rPr>
        <w:t>人。离休人数小计</w:t>
      </w:r>
      <w:r>
        <w:rPr>
          <w:rFonts w:hint="eastAsia" w:ascii="Times New Roman" w:hAnsi="Times New Roman" w:eastAsia="仿宋_GB2312" w:cs="Times New Roman"/>
          <w:bCs/>
          <w:color w:val="auto"/>
          <w:sz w:val="32"/>
          <w:szCs w:val="32"/>
          <w:lang w:val="en-US" w:eastAsia="zh-CN"/>
        </w:rPr>
        <w:t>0</w:t>
      </w:r>
      <w:r>
        <w:rPr>
          <w:rFonts w:hint="default" w:ascii="Times New Roman" w:hAnsi="Times New Roman" w:eastAsia="仿宋_GB2312" w:cs="Times New Roman"/>
          <w:bCs/>
          <w:color w:val="auto"/>
          <w:sz w:val="32"/>
          <w:szCs w:val="32"/>
        </w:rPr>
        <w:t>人，退休人数小计</w:t>
      </w:r>
      <w:r>
        <w:rPr>
          <w:rFonts w:hint="eastAsia" w:ascii="Times New Roman" w:hAnsi="Times New Roman" w:eastAsia="仿宋_GB2312" w:cs="Times New Roman"/>
          <w:bCs/>
          <w:color w:val="auto"/>
          <w:sz w:val="32"/>
          <w:szCs w:val="32"/>
          <w:lang w:val="en-US" w:eastAsia="zh-CN"/>
        </w:rPr>
        <w:t>12</w:t>
      </w:r>
      <w:r>
        <w:rPr>
          <w:rFonts w:hint="default" w:ascii="Times New Roman" w:hAnsi="Times New Roman" w:eastAsia="仿宋_GB2312" w:cs="Times New Roman"/>
          <w:bCs/>
          <w:color w:val="auto"/>
          <w:sz w:val="32"/>
          <w:szCs w:val="32"/>
        </w:rPr>
        <w:t>人</w:t>
      </w:r>
      <w:r>
        <w:rPr>
          <w:rFonts w:hint="eastAsia" w:ascii="Times New Roman" w:hAnsi="Times New Roman" w:eastAsia="仿宋_GB2312" w:cs="Times New Roman"/>
          <w:bCs/>
          <w:color w:val="auto"/>
          <w:sz w:val="32"/>
          <w:szCs w:val="32"/>
          <w:lang w:eastAsia="zh-CN"/>
        </w:rPr>
        <w:t>，遗属人数小计</w:t>
      </w:r>
      <w:r>
        <w:rPr>
          <w:rFonts w:hint="eastAsia" w:ascii="Times New Roman" w:hAnsi="Times New Roman" w:cs="Times New Roman"/>
          <w:bCs/>
          <w:color w:val="auto"/>
          <w:sz w:val="32"/>
          <w:szCs w:val="32"/>
          <w:lang w:val="en-US" w:eastAsia="zh-CN"/>
        </w:rPr>
        <w:t>1</w:t>
      </w:r>
      <w:r>
        <w:rPr>
          <w:rFonts w:hint="eastAsia" w:ascii="Times New Roman" w:hAnsi="Times New Roman" w:eastAsia="仿宋_GB2312" w:cs="Times New Roman"/>
          <w:bCs/>
          <w:color w:val="auto"/>
          <w:sz w:val="32"/>
          <w:szCs w:val="32"/>
          <w:lang w:val="en-US" w:eastAsia="zh-CN"/>
        </w:rPr>
        <w:t>人</w:t>
      </w:r>
      <w:r>
        <w:rPr>
          <w:rFonts w:hint="default" w:ascii="Times New Roman" w:hAnsi="Times New Roman" w:eastAsia="仿宋_GB2312" w:cs="Times New Roman"/>
          <w:bCs/>
          <w:color w:val="auto"/>
          <w:sz w:val="32"/>
          <w:szCs w:val="32"/>
        </w:rPr>
        <w:t>。</w:t>
      </w:r>
    </w:p>
    <w:p w14:paraId="40DD4742">
      <w:pPr>
        <w:pStyle w:val="19"/>
        <w:bidi w:val="0"/>
        <w:rPr>
          <w:rFonts w:hint="eastAsia" w:ascii="仿宋_GB2312" w:hAnsi="仿宋_GB2312" w:eastAsia="仿宋_GB2312" w:cs="仿宋_GB2312"/>
        </w:rPr>
      </w:pPr>
    </w:p>
    <w:p w14:paraId="4643C7AF">
      <w:pPr>
        <w:widowControl/>
        <w:spacing w:line="580" w:lineRule="exact"/>
        <w:jc w:val="both"/>
        <w:rPr>
          <w:rFonts w:ascii="仿宋_GB2312" w:eastAsia="仿宋_GB2312"/>
          <w:b/>
          <w:szCs w:val="30"/>
        </w:rPr>
      </w:pPr>
    </w:p>
    <w:p w14:paraId="1D106E51">
      <w:pPr>
        <w:pStyle w:val="18"/>
        <w:numPr>
          <w:ilvl w:val="0"/>
          <w:numId w:val="0"/>
        </w:numPr>
        <w:bidi w:val="0"/>
        <w:jc w:val="center"/>
        <w:rPr>
          <w:rFonts w:hint="eastAsia"/>
          <w:lang w:eastAsia="zh-CN"/>
        </w:rPr>
      </w:pPr>
      <w:r>
        <w:rPr>
          <w:rFonts w:hint="eastAsia"/>
          <w:lang w:eastAsia="zh-CN"/>
        </w:rPr>
        <w:t>第二部分  中共赣州市委信访局2026年部门预算表</w:t>
      </w:r>
    </w:p>
    <w:p w14:paraId="0570544E">
      <w:pPr>
        <w:pStyle w:val="18"/>
        <w:numPr>
          <w:ilvl w:val="0"/>
          <w:numId w:val="0"/>
        </w:numPr>
        <w:bidi w:val="0"/>
        <w:ind w:left="420" w:leftChars="200"/>
        <w:jc w:val="center"/>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7"/>
        <w:tblW w:w="4999" w:type="pct"/>
        <w:jc w:val="center"/>
        <w:tblLayout w:type="fixed"/>
        <w:tblCellMar>
          <w:top w:w="0" w:type="dxa"/>
          <w:left w:w="108" w:type="dxa"/>
          <w:bottom w:w="0" w:type="dxa"/>
          <w:right w:w="108" w:type="dxa"/>
        </w:tblCellMar>
      </w:tblPr>
      <w:tblGrid>
        <w:gridCol w:w="3122"/>
        <w:gridCol w:w="2249"/>
        <w:gridCol w:w="3535"/>
        <w:gridCol w:w="1775"/>
      </w:tblGrid>
      <w:tr w14:paraId="76F99DD8">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6AF8F4B7">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2919E956">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278969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0E940A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465C2D1A">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6D0BFB7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2" w:type="pct"/>
            <w:tcBorders>
              <w:top w:val="nil"/>
              <w:left w:val="nil"/>
              <w:bottom w:val="nil"/>
              <w:right w:val="single" w:color="000000" w:sz="4" w:space="0"/>
            </w:tcBorders>
            <w:noWrap/>
            <w:vAlign w:val="center"/>
          </w:tcPr>
          <w:p w14:paraId="57053D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4" w:type="pct"/>
            <w:tcBorders>
              <w:top w:val="nil"/>
              <w:left w:val="nil"/>
              <w:bottom w:val="single" w:color="000000" w:sz="4" w:space="0"/>
              <w:right w:val="single" w:color="000000" w:sz="4" w:space="0"/>
            </w:tcBorders>
            <w:noWrap/>
            <w:vAlign w:val="center"/>
          </w:tcPr>
          <w:p w14:paraId="0C4A21B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项目(按功能科目)</w:t>
            </w:r>
          </w:p>
        </w:tc>
        <w:tc>
          <w:tcPr>
            <w:tcW w:w="830" w:type="pct"/>
            <w:tcBorders>
              <w:top w:val="nil"/>
              <w:left w:val="nil"/>
              <w:bottom w:val="single" w:color="000000" w:sz="4" w:space="0"/>
              <w:right w:val="single" w:color="000000" w:sz="4" w:space="0"/>
            </w:tcBorders>
            <w:noWrap/>
            <w:vAlign w:val="center"/>
          </w:tcPr>
          <w:p w14:paraId="051D491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28008F6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4E1A61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2" w:type="pct"/>
            <w:tcBorders>
              <w:top w:val="single" w:color="000000" w:sz="4" w:space="0"/>
              <w:left w:val="nil"/>
              <w:bottom w:val="single" w:color="000000" w:sz="4" w:space="0"/>
              <w:right w:val="single" w:color="000000" w:sz="4" w:space="0"/>
            </w:tcBorders>
            <w:noWrap/>
            <w:vAlign w:val="center"/>
          </w:tcPr>
          <w:p w14:paraId="1B0136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1,049.71</w:t>
            </w:r>
          </w:p>
        </w:tc>
        <w:tc>
          <w:tcPr>
            <w:tcW w:w="1654" w:type="pct"/>
            <w:tcBorders>
              <w:top w:val="nil"/>
              <w:left w:val="nil"/>
              <w:bottom w:val="single" w:color="000000" w:sz="4" w:space="0"/>
              <w:right w:val="single" w:color="000000" w:sz="4" w:space="0"/>
            </w:tcBorders>
            <w:noWrap/>
            <w:vAlign w:val="center"/>
          </w:tcPr>
          <w:p w14:paraId="05FFFD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一般公共服务支出</w:t>
            </w:r>
          </w:p>
        </w:tc>
        <w:tc>
          <w:tcPr>
            <w:tcW w:w="830" w:type="pct"/>
            <w:tcBorders>
              <w:top w:val="nil"/>
              <w:left w:val="nil"/>
              <w:bottom w:val="single" w:color="000000" w:sz="4" w:space="0"/>
              <w:right w:val="single" w:color="000000" w:sz="4" w:space="0"/>
            </w:tcBorders>
            <w:noWrap/>
            <w:vAlign w:val="center"/>
          </w:tcPr>
          <w:p w14:paraId="174BE4A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934.95</w:t>
            </w:r>
          </w:p>
        </w:tc>
      </w:tr>
      <w:tr w14:paraId="7D1A291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F6181A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2" w:type="pct"/>
            <w:tcBorders>
              <w:top w:val="nil"/>
              <w:left w:val="nil"/>
              <w:bottom w:val="single" w:color="000000" w:sz="4" w:space="0"/>
              <w:right w:val="single" w:color="000000" w:sz="4" w:space="0"/>
            </w:tcBorders>
            <w:vAlign w:val="center"/>
          </w:tcPr>
          <w:p w14:paraId="0751EF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1,049.71</w:t>
            </w:r>
          </w:p>
        </w:tc>
        <w:tc>
          <w:tcPr>
            <w:tcW w:w="1654" w:type="pct"/>
            <w:tcBorders>
              <w:top w:val="nil"/>
              <w:left w:val="nil"/>
              <w:bottom w:val="single" w:color="000000" w:sz="4" w:space="0"/>
              <w:right w:val="single" w:color="000000" w:sz="4" w:space="0"/>
            </w:tcBorders>
            <w:noWrap/>
            <w:vAlign w:val="center"/>
          </w:tcPr>
          <w:p w14:paraId="47460C3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30" w:type="pct"/>
            <w:tcBorders>
              <w:top w:val="nil"/>
              <w:left w:val="nil"/>
              <w:bottom w:val="single" w:color="000000" w:sz="4" w:space="0"/>
              <w:right w:val="single" w:color="000000" w:sz="4" w:space="0"/>
            </w:tcBorders>
            <w:noWrap/>
            <w:vAlign w:val="center"/>
          </w:tcPr>
          <w:p w14:paraId="3B8A5D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59.78</w:t>
            </w:r>
          </w:p>
        </w:tc>
      </w:tr>
      <w:tr w14:paraId="00322F6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688443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2" w:type="pct"/>
            <w:tcBorders>
              <w:top w:val="nil"/>
              <w:left w:val="nil"/>
              <w:bottom w:val="single" w:color="000000" w:sz="4" w:space="0"/>
              <w:right w:val="single" w:color="000000" w:sz="4" w:space="0"/>
            </w:tcBorders>
            <w:noWrap/>
            <w:vAlign w:val="center"/>
          </w:tcPr>
          <w:p w14:paraId="464C4B1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4" w:type="pct"/>
            <w:tcBorders>
              <w:top w:val="nil"/>
              <w:left w:val="nil"/>
              <w:bottom w:val="single" w:color="000000" w:sz="4" w:space="0"/>
              <w:right w:val="single" w:color="000000" w:sz="4" w:space="0"/>
            </w:tcBorders>
            <w:noWrap/>
            <w:vAlign w:val="center"/>
          </w:tcPr>
          <w:p w14:paraId="054C499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30" w:type="pct"/>
            <w:tcBorders>
              <w:top w:val="nil"/>
              <w:left w:val="nil"/>
              <w:bottom w:val="single" w:color="000000" w:sz="4" w:space="0"/>
              <w:right w:val="single" w:color="000000" w:sz="4" w:space="0"/>
            </w:tcBorders>
            <w:noWrap/>
            <w:vAlign w:val="center"/>
          </w:tcPr>
          <w:p w14:paraId="191746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51.76</w:t>
            </w:r>
          </w:p>
        </w:tc>
      </w:tr>
      <w:tr w14:paraId="1E9FFED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A33609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2" w:type="pct"/>
            <w:tcBorders>
              <w:top w:val="nil"/>
              <w:left w:val="nil"/>
              <w:bottom w:val="single" w:color="000000" w:sz="4" w:space="0"/>
              <w:right w:val="single" w:color="000000" w:sz="4" w:space="0"/>
            </w:tcBorders>
            <w:vAlign w:val="center"/>
          </w:tcPr>
          <w:p w14:paraId="15AB07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4" w:type="pct"/>
            <w:tcBorders>
              <w:top w:val="nil"/>
              <w:left w:val="nil"/>
              <w:bottom w:val="single" w:color="000000" w:sz="4" w:space="0"/>
              <w:right w:val="single" w:color="000000" w:sz="4" w:space="0"/>
            </w:tcBorders>
            <w:noWrap/>
            <w:vAlign w:val="center"/>
          </w:tcPr>
          <w:p w14:paraId="4243409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30" w:type="pct"/>
            <w:tcBorders>
              <w:top w:val="nil"/>
              <w:left w:val="nil"/>
              <w:bottom w:val="single" w:color="000000" w:sz="4" w:space="0"/>
              <w:right w:val="single" w:color="000000" w:sz="4" w:space="0"/>
            </w:tcBorders>
            <w:noWrap/>
            <w:vAlign w:val="center"/>
          </w:tcPr>
          <w:p w14:paraId="623FCDF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51.45</w:t>
            </w:r>
          </w:p>
        </w:tc>
      </w:tr>
      <w:tr w14:paraId="36959E4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7EF182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2" w:type="pct"/>
            <w:tcBorders>
              <w:top w:val="nil"/>
              <w:left w:val="nil"/>
              <w:bottom w:val="single" w:color="000000" w:sz="4" w:space="0"/>
              <w:right w:val="single" w:color="000000" w:sz="4" w:space="0"/>
            </w:tcBorders>
            <w:vAlign w:val="center"/>
          </w:tcPr>
          <w:p w14:paraId="66333A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4" w:type="pct"/>
            <w:tcBorders>
              <w:top w:val="nil"/>
              <w:left w:val="nil"/>
              <w:bottom w:val="single" w:color="000000" w:sz="4" w:space="0"/>
              <w:right w:val="single" w:color="000000" w:sz="4" w:space="0"/>
            </w:tcBorders>
            <w:noWrap/>
            <w:vAlign w:val="center"/>
          </w:tcPr>
          <w:p w14:paraId="56BD5C6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2E1E819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9F9648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C43782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2" w:type="pct"/>
            <w:tcBorders>
              <w:top w:val="nil"/>
              <w:left w:val="nil"/>
              <w:bottom w:val="single" w:color="000000" w:sz="4" w:space="0"/>
              <w:right w:val="single" w:color="000000" w:sz="4" w:space="0"/>
            </w:tcBorders>
            <w:vAlign w:val="center"/>
          </w:tcPr>
          <w:p w14:paraId="6A12231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4" w:type="pct"/>
            <w:tcBorders>
              <w:top w:val="nil"/>
              <w:left w:val="nil"/>
              <w:bottom w:val="single" w:color="000000" w:sz="4" w:space="0"/>
              <w:right w:val="single" w:color="000000" w:sz="4" w:space="0"/>
            </w:tcBorders>
            <w:noWrap/>
            <w:vAlign w:val="center"/>
          </w:tcPr>
          <w:p w14:paraId="658D1C3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5C65A74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8CCF45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53C0B1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2" w:type="pct"/>
            <w:tcBorders>
              <w:top w:val="nil"/>
              <w:left w:val="nil"/>
              <w:bottom w:val="single" w:color="000000" w:sz="4" w:space="0"/>
              <w:right w:val="single" w:color="000000" w:sz="4" w:space="0"/>
            </w:tcBorders>
            <w:vAlign w:val="center"/>
          </w:tcPr>
          <w:p w14:paraId="406018A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4" w:type="pct"/>
            <w:tcBorders>
              <w:top w:val="nil"/>
              <w:left w:val="nil"/>
              <w:bottom w:val="single" w:color="000000" w:sz="4" w:space="0"/>
              <w:right w:val="single" w:color="000000" w:sz="4" w:space="0"/>
            </w:tcBorders>
            <w:noWrap/>
            <w:vAlign w:val="center"/>
          </w:tcPr>
          <w:p w14:paraId="7838D51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195DBBD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DFAFEE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410782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2" w:type="pct"/>
            <w:tcBorders>
              <w:top w:val="nil"/>
              <w:left w:val="nil"/>
              <w:bottom w:val="single" w:color="000000" w:sz="4" w:space="0"/>
              <w:right w:val="single" w:color="000000" w:sz="4" w:space="0"/>
            </w:tcBorders>
            <w:noWrap/>
            <w:vAlign w:val="center"/>
          </w:tcPr>
          <w:p w14:paraId="3BAB8C8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4" w:type="pct"/>
            <w:tcBorders>
              <w:top w:val="nil"/>
              <w:left w:val="nil"/>
              <w:bottom w:val="single" w:color="000000" w:sz="4" w:space="0"/>
              <w:right w:val="single" w:color="000000" w:sz="4" w:space="0"/>
            </w:tcBorders>
            <w:noWrap/>
            <w:vAlign w:val="center"/>
          </w:tcPr>
          <w:p w14:paraId="22E754D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22D01FC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C83B7E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14BFD7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2" w:type="pct"/>
            <w:tcBorders>
              <w:top w:val="nil"/>
              <w:left w:val="nil"/>
              <w:bottom w:val="single" w:color="000000" w:sz="4" w:space="0"/>
              <w:right w:val="single" w:color="000000" w:sz="4" w:space="0"/>
            </w:tcBorders>
            <w:noWrap/>
            <w:vAlign w:val="center"/>
          </w:tcPr>
          <w:p w14:paraId="4B4EF4B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4" w:type="pct"/>
            <w:tcBorders>
              <w:top w:val="nil"/>
              <w:left w:val="nil"/>
              <w:bottom w:val="single" w:color="000000" w:sz="4" w:space="0"/>
              <w:right w:val="single" w:color="000000" w:sz="4" w:space="0"/>
            </w:tcBorders>
            <w:noWrap/>
            <w:vAlign w:val="center"/>
          </w:tcPr>
          <w:p w14:paraId="5534423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7200E0C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DF2CC9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0F8936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2" w:type="pct"/>
            <w:tcBorders>
              <w:top w:val="nil"/>
              <w:left w:val="nil"/>
              <w:bottom w:val="single" w:color="000000" w:sz="4" w:space="0"/>
              <w:right w:val="single" w:color="000000" w:sz="4" w:space="0"/>
            </w:tcBorders>
            <w:noWrap/>
            <w:vAlign w:val="center"/>
          </w:tcPr>
          <w:p w14:paraId="67A85A2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10.40</w:t>
            </w:r>
          </w:p>
        </w:tc>
        <w:tc>
          <w:tcPr>
            <w:tcW w:w="1654" w:type="pct"/>
            <w:tcBorders>
              <w:top w:val="nil"/>
              <w:left w:val="nil"/>
              <w:bottom w:val="single" w:color="000000" w:sz="4" w:space="0"/>
              <w:right w:val="single" w:color="000000" w:sz="4" w:space="0"/>
            </w:tcBorders>
            <w:noWrap/>
            <w:vAlign w:val="center"/>
          </w:tcPr>
          <w:p w14:paraId="3248CE6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77122F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44B8F5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91B0DC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2" w:type="pct"/>
            <w:tcBorders>
              <w:top w:val="nil"/>
              <w:left w:val="nil"/>
              <w:bottom w:val="single" w:color="000000" w:sz="4" w:space="0"/>
              <w:right w:val="single" w:color="000000" w:sz="4" w:space="0"/>
            </w:tcBorders>
            <w:vAlign w:val="center"/>
          </w:tcPr>
          <w:p w14:paraId="302038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4" w:type="pct"/>
            <w:tcBorders>
              <w:top w:val="nil"/>
              <w:left w:val="nil"/>
              <w:bottom w:val="single" w:color="000000" w:sz="4" w:space="0"/>
              <w:right w:val="single" w:color="000000" w:sz="4" w:space="0"/>
            </w:tcBorders>
            <w:noWrap/>
            <w:vAlign w:val="center"/>
          </w:tcPr>
          <w:p w14:paraId="29CBD79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14E83ED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F39ABE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1928B02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2" w:type="pct"/>
            <w:tcBorders>
              <w:top w:val="nil"/>
              <w:left w:val="nil"/>
              <w:bottom w:val="single" w:color="auto" w:sz="4" w:space="0"/>
              <w:right w:val="single" w:color="000000" w:sz="4" w:space="0"/>
            </w:tcBorders>
            <w:vAlign w:val="center"/>
          </w:tcPr>
          <w:p w14:paraId="069F5D1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1,060.11</w:t>
            </w:r>
          </w:p>
        </w:tc>
        <w:tc>
          <w:tcPr>
            <w:tcW w:w="1654" w:type="pct"/>
            <w:tcBorders>
              <w:top w:val="nil"/>
              <w:left w:val="nil"/>
              <w:bottom w:val="single" w:color="auto" w:sz="4" w:space="0"/>
              <w:right w:val="single" w:color="000000" w:sz="4" w:space="0"/>
            </w:tcBorders>
            <w:noWrap/>
            <w:vAlign w:val="center"/>
          </w:tcPr>
          <w:p w14:paraId="54A5D40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30" w:type="pct"/>
            <w:tcBorders>
              <w:top w:val="nil"/>
              <w:left w:val="nil"/>
              <w:bottom w:val="single" w:color="auto" w:sz="4" w:space="0"/>
              <w:right w:val="single" w:color="000000" w:sz="4" w:space="0"/>
            </w:tcBorders>
            <w:noWrap/>
            <w:vAlign w:val="bottom"/>
          </w:tcPr>
          <w:p w14:paraId="13B1126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1,097.94</w:t>
            </w:r>
          </w:p>
        </w:tc>
      </w:tr>
      <w:tr w14:paraId="746E8E66">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005ED12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2" w:type="pct"/>
            <w:tcBorders>
              <w:top w:val="single" w:color="auto" w:sz="4" w:space="0"/>
              <w:left w:val="single" w:color="auto" w:sz="4" w:space="0"/>
              <w:bottom w:val="single" w:color="auto" w:sz="4" w:space="0"/>
              <w:right w:val="single" w:color="auto" w:sz="4" w:space="0"/>
            </w:tcBorders>
            <w:vAlign w:val="center"/>
          </w:tcPr>
          <w:p w14:paraId="03B02F6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4" w:type="pct"/>
            <w:tcBorders>
              <w:top w:val="single" w:color="auto" w:sz="4" w:space="0"/>
              <w:left w:val="single" w:color="auto" w:sz="4" w:space="0"/>
              <w:bottom w:val="single" w:color="auto" w:sz="4" w:space="0"/>
              <w:right w:val="single" w:color="auto" w:sz="4" w:space="0"/>
            </w:tcBorders>
            <w:noWrap/>
            <w:vAlign w:val="center"/>
          </w:tcPr>
          <w:p w14:paraId="1B4A04E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30" w:type="pct"/>
            <w:tcBorders>
              <w:top w:val="single" w:color="auto" w:sz="4" w:space="0"/>
              <w:left w:val="single" w:color="auto" w:sz="4" w:space="0"/>
              <w:bottom w:val="single" w:color="auto" w:sz="4" w:space="0"/>
              <w:right w:val="single" w:color="auto" w:sz="4" w:space="0"/>
            </w:tcBorders>
            <w:vAlign w:val="center"/>
          </w:tcPr>
          <w:p w14:paraId="25AF62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6A398DA1">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5CB47D1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2" w:type="pct"/>
            <w:tcBorders>
              <w:top w:val="single" w:color="auto" w:sz="4" w:space="0"/>
              <w:left w:val="single" w:color="000000" w:sz="4" w:space="0"/>
              <w:bottom w:val="single" w:color="auto" w:sz="4" w:space="0"/>
              <w:right w:val="single" w:color="000000" w:sz="4" w:space="0"/>
            </w:tcBorders>
            <w:noWrap/>
            <w:vAlign w:val="center"/>
          </w:tcPr>
          <w:p w14:paraId="2D3EDDC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37.83</w:t>
            </w:r>
          </w:p>
        </w:tc>
        <w:tc>
          <w:tcPr>
            <w:tcW w:w="1654" w:type="pct"/>
            <w:tcBorders>
              <w:top w:val="single" w:color="auto" w:sz="4" w:space="0"/>
              <w:left w:val="nil"/>
              <w:bottom w:val="single" w:color="auto" w:sz="4" w:space="0"/>
              <w:right w:val="single" w:color="000000" w:sz="4" w:space="0"/>
            </w:tcBorders>
            <w:noWrap/>
            <w:vAlign w:val="bottom"/>
          </w:tcPr>
          <w:p w14:paraId="063E1E3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30" w:type="pct"/>
            <w:tcBorders>
              <w:top w:val="single" w:color="auto" w:sz="4" w:space="0"/>
              <w:left w:val="nil"/>
              <w:bottom w:val="single" w:color="auto" w:sz="4" w:space="0"/>
              <w:right w:val="single" w:color="000000" w:sz="4" w:space="0"/>
            </w:tcBorders>
            <w:vAlign w:val="center"/>
          </w:tcPr>
          <w:p w14:paraId="3304F2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A7822A2">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514E343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2" w:type="pct"/>
            <w:tcBorders>
              <w:top w:val="single" w:color="auto" w:sz="4" w:space="0"/>
              <w:left w:val="single" w:color="auto" w:sz="4" w:space="0"/>
              <w:bottom w:val="single" w:color="auto" w:sz="4" w:space="0"/>
              <w:right w:val="single" w:color="auto" w:sz="4" w:space="0"/>
            </w:tcBorders>
            <w:noWrap/>
            <w:vAlign w:val="center"/>
          </w:tcPr>
          <w:p w14:paraId="20259D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1,097.94</w:t>
            </w:r>
          </w:p>
        </w:tc>
        <w:tc>
          <w:tcPr>
            <w:tcW w:w="1654" w:type="pct"/>
            <w:tcBorders>
              <w:top w:val="single" w:color="auto" w:sz="4" w:space="0"/>
              <w:left w:val="single" w:color="auto" w:sz="4" w:space="0"/>
              <w:bottom w:val="single" w:color="auto" w:sz="4" w:space="0"/>
              <w:right w:val="single" w:color="auto" w:sz="4" w:space="0"/>
            </w:tcBorders>
            <w:noWrap/>
            <w:vAlign w:val="center"/>
          </w:tcPr>
          <w:p w14:paraId="4E46607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30" w:type="pct"/>
            <w:tcBorders>
              <w:top w:val="single" w:color="auto" w:sz="4" w:space="0"/>
              <w:left w:val="single" w:color="auto" w:sz="4" w:space="0"/>
              <w:bottom w:val="single" w:color="auto" w:sz="4" w:space="0"/>
              <w:right w:val="single" w:color="auto" w:sz="4" w:space="0"/>
            </w:tcBorders>
            <w:noWrap/>
            <w:vAlign w:val="bottom"/>
          </w:tcPr>
          <w:p w14:paraId="511EA1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1,097.94</w:t>
            </w:r>
          </w:p>
        </w:tc>
      </w:tr>
    </w:tbl>
    <w:p w14:paraId="372E8A33">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985"/>
        <w:gridCol w:w="898"/>
        <w:gridCol w:w="787"/>
        <w:gridCol w:w="865"/>
        <w:gridCol w:w="963"/>
        <w:gridCol w:w="625"/>
        <w:gridCol w:w="586"/>
        <w:gridCol w:w="661"/>
        <w:gridCol w:w="837"/>
        <w:gridCol w:w="761"/>
        <w:gridCol w:w="549"/>
        <w:gridCol w:w="499"/>
        <w:gridCol w:w="761"/>
        <w:gridCol w:w="623"/>
      </w:tblGrid>
      <w:tr w14:paraId="602FE330">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6FE23FD3">
            <w:pPr>
              <w:widowControl/>
              <w:jc w:val="center"/>
              <w:rPr>
                <w:rFonts w:ascii="宋体" w:hAnsi="宋体" w:eastAsia="宋体" w:cs="Arial"/>
                <w:b/>
                <w:bCs/>
                <w:color w:val="000000"/>
                <w:kern w:val="0"/>
                <w:sz w:val="32"/>
                <w:szCs w:val="32"/>
              </w:rPr>
            </w:pPr>
            <w:r>
              <w:rPr>
                <w:rFonts w:hint="eastAsia" w:asciiTheme="minorEastAsia" w:hAnsiTheme="minorEastAsia" w:eastAsiaTheme="minorEastAsia" w:cstheme="minorEastAsia"/>
                <w:color w:val="000000"/>
                <w:sz w:val="18"/>
                <w:szCs w:val="18"/>
              </w:rPr>
              <w:t>部门收入总表</w:t>
            </w:r>
          </w:p>
        </w:tc>
      </w:tr>
      <w:tr w14:paraId="53A3D023">
        <w:tblPrEx>
          <w:tblCellMar>
            <w:top w:w="0" w:type="dxa"/>
            <w:left w:w="108" w:type="dxa"/>
            <w:bottom w:w="0" w:type="dxa"/>
            <w:right w:w="108" w:type="dxa"/>
          </w:tblCellMar>
        </w:tblPrEx>
        <w:trPr>
          <w:trHeight w:val="327" w:hRule="atLeast"/>
        </w:trPr>
        <w:tc>
          <w:tcPr>
            <w:tcW w:w="1989" w:type="pct"/>
            <w:gridSpan w:val="4"/>
            <w:tcBorders>
              <w:top w:val="nil"/>
              <w:left w:val="nil"/>
              <w:bottom w:val="single" w:color="auto" w:sz="4" w:space="0"/>
              <w:right w:val="nil"/>
            </w:tcBorders>
            <w:shd w:val="clear" w:color="auto" w:fill="auto"/>
            <w:noWrap/>
            <w:vAlign w:val="center"/>
          </w:tcPr>
          <w:p w14:paraId="1E5D3FD5">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填报单位:114中共赣州市委信访局</w:t>
            </w:r>
          </w:p>
        </w:tc>
        <w:tc>
          <w:tcPr>
            <w:tcW w:w="422" w:type="pct"/>
            <w:tcBorders>
              <w:top w:val="nil"/>
              <w:left w:val="nil"/>
              <w:bottom w:val="single" w:color="auto" w:sz="4" w:space="0"/>
              <w:right w:val="nil"/>
            </w:tcBorders>
            <w:shd w:val="clear" w:color="auto" w:fill="auto"/>
            <w:noWrap/>
            <w:vAlign w:val="bottom"/>
          </w:tcPr>
          <w:p w14:paraId="574C4329">
            <w:pPr>
              <w:widowControl/>
              <w:jc w:val="left"/>
              <w:rPr>
                <w:rFonts w:ascii="Times New Roman" w:hAnsi="Times New Roman" w:eastAsia="Times New Roman" w:cs="Times New Roman"/>
                <w:kern w:val="0"/>
                <w:sz w:val="20"/>
                <w:szCs w:val="20"/>
              </w:rPr>
            </w:pPr>
          </w:p>
        </w:tc>
        <w:tc>
          <w:tcPr>
            <w:tcW w:w="274" w:type="pct"/>
            <w:tcBorders>
              <w:top w:val="nil"/>
              <w:left w:val="nil"/>
              <w:bottom w:val="single" w:color="auto" w:sz="4" w:space="0"/>
              <w:right w:val="nil"/>
            </w:tcBorders>
            <w:shd w:val="clear" w:color="auto" w:fill="auto"/>
            <w:noWrap/>
            <w:vAlign w:val="bottom"/>
          </w:tcPr>
          <w:p w14:paraId="2D1515E3">
            <w:pPr>
              <w:widowControl/>
              <w:jc w:val="left"/>
              <w:rPr>
                <w:rFonts w:ascii="Times New Roman" w:hAnsi="Times New Roman" w:eastAsia="Times New Roman" w:cs="Times New Roman"/>
                <w:kern w:val="0"/>
                <w:sz w:val="20"/>
                <w:szCs w:val="20"/>
              </w:rPr>
            </w:pPr>
          </w:p>
        </w:tc>
        <w:tc>
          <w:tcPr>
            <w:tcW w:w="257" w:type="pct"/>
            <w:tcBorders>
              <w:top w:val="nil"/>
              <w:left w:val="nil"/>
              <w:bottom w:val="single" w:color="auto" w:sz="4" w:space="0"/>
              <w:right w:val="nil"/>
            </w:tcBorders>
            <w:shd w:val="clear" w:color="auto" w:fill="auto"/>
            <w:noWrap/>
            <w:vAlign w:val="bottom"/>
          </w:tcPr>
          <w:p w14:paraId="72D9CC31">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28DF1189">
            <w:pPr>
              <w:widowControl/>
              <w:jc w:val="left"/>
              <w:rPr>
                <w:rFonts w:ascii="Times New Roman" w:hAnsi="Times New Roman" w:eastAsia="Times New Roman" w:cs="Times New Roman"/>
                <w:kern w:val="0"/>
                <w:sz w:val="20"/>
                <w:szCs w:val="20"/>
              </w:rPr>
            </w:pPr>
          </w:p>
        </w:tc>
        <w:tc>
          <w:tcPr>
            <w:tcW w:w="367" w:type="pct"/>
            <w:tcBorders>
              <w:top w:val="nil"/>
              <w:left w:val="nil"/>
              <w:bottom w:val="single" w:color="auto" w:sz="4" w:space="0"/>
              <w:right w:val="nil"/>
            </w:tcBorders>
            <w:shd w:val="clear" w:color="auto" w:fill="auto"/>
            <w:noWrap/>
            <w:vAlign w:val="bottom"/>
          </w:tcPr>
          <w:p w14:paraId="7D190366">
            <w:pPr>
              <w:widowControl/>
              <w:jc w:val="left"/>
              <w:rPr>
                <w:rFonts w:ascii="Times New Roman" w:hAnsi="Times New Roman" w:eastAsia="Times New Roman" w:cs="Times New Roman"/>
                <w:kern w:val="0"/>
                <w:sz w:val="20"/>
                <w:szCs w:val="20"/>
              </w:rPr>
            </w:pPr>
          </w:p>
        </w:tc>
        <w:tc>
          <w:tcPr>
            <w:tcW w:w="334" w:type="pct"/>
            <w:tcBorders>
              <w:top w:val="nil"/>
              <w:left w:val="nil"/>
              <w:bottom w:val="single" w:color="auto" w:sz="4" w:space="0"/>
              <w:right w:val="nil"/>
            </w:tcBorders>
            <w:shd w:val="clear" w:color="auto" w:fill="auto"/>
            <w:noWrap/>
            <w:vAlign w:val="bottom"/>
          </w:tcPr>
          <w:p w14:paraId="75471F42">
            <w:pPr>
              <w:widowControl/>
              <w:jc w:val="left"/>
              <w:rPr>
                <w:rFonts w:ascii="Times New Roman" w:hAnsi="Times New Roman" w:eastAsia="Times New Roman" w:cs="Times New Roman"/>
                <w:kern w:val="0"/>
                <w:sz w:val="20"/>
                <w:szCs w:val="20"/>
              </w:rPr>
            </w:pPr>
          </w:p>
        </w:tc>
        <w:tc>
          <w:tcPr>
            <w:tcW w:w="241" w:type="pct"/>
            <w:tcBorders>
              <w:top w:val="nil"/>
              <w:left w:val="nil"/>
              <w:bottom w:val="single" w:color="auto" w:sz="4" w:space="0"/>
              <w:right w:val="nil"/>
            </w:tcBorders>
            <w:shd w:val="clear" w:color="auto" w:fill="auto"/>
            <w:noWrap/>
            <w:vAlign w:val="bottom"/>
          </w:tcPr>
          <w:p w14:paraId="75B3FB2C">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1DC85FBF">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54E36FB7">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4AC20F3C">
        <w:tblPrEx>
          <w:tblCellMar>
            <w:top w:w="0" w:type="dxa"/>
            <w:left w:w="108" w:type="dxa"/>
            <w:bottom w:w="0" w:type="dxa"/>
            <w:right w:w="108" w:type="dxa"/>
          </w:tblCellMar>
        </w:tblPrEx>
        <w:trPr>
          <w:cantSplit/>
          <w:trHeight w:val="283" w:hRule="atLeast"/>
        </w:trPr>
        <w:tc>
          <w:tcPr>
            <w:tcW w:w="871" w:type="pct"/>
            <w:vMerge w:val="restart"/>
            <w:tcBorders>
              <w:top w:val="single" w:color="auto" w:sz="4" w:space="0"/>
              <w:left w:val="single" w:color="auto" w:sz="4" w:space="0"/>
              <w:right w:val="single" w:color="auto" w:sz="4" w:space="0"/>
            </w:tcBorders>
            <w:shd w:val="clear" w:color="auto" w:fill="auto"/>
            <w:noWrap/>
            <w:vAlign w:val="center"/>
          </w:tcPr>
          <w:p w14:paraId="34BE9150">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394"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23EDEF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4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071AAA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332"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9433D4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DF0204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6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E28FFD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CCE54C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4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CCDFAA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CBEFF6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C437D8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6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EA430E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647242DE">
        <w:tblPrEx>
          <w:tblCellMar>
            <w:top w:w="0" w:type="dxa"/>
            <w:left w:w="108" w:type="dxa"/>
            <w:bottom w:w="0" w:type="dxa"/>
            <w:right w:w="108" w:type="dxa"/>
          </w:tblCellMar>
        </w:tblPrEx>
        <w:trPr>
          <w:cantSplit/>
          <w:trHeight w:val="554" w:hRule="atLeast"/>
        </w:trPr>
        <w:tc>
          <w:tcPr>
            <w:tcW w:w="871" w:type="pct"/>
            <w:vMerge w:val="continue"/>
            <w:tcBorders>
              <w:left w:val="single" w:color="auto" w:sz="4" w:space="0"/>
              <w:bottom w:val="single" w:color="auto" w:sz="4" w:space="0"/>
              <w:right w:val="single" w:color="auto" w:sz="4" w:space="0"/>
            </w:tcBorders>
            <w:vAlign w:val="center"/>
          </w:tcPr>
          <w:p w14:paraId="096AFACC">
            <w:pPr>
              <w:widowControl/>
              <w:jc w:val="left"/>
              <w:rPr>
                <w:rFonts w:ascii="宋体" w:hAnsi="宋体" w:eastAsia="宋体" w:cs="Arial"/>
                <w:color w:val="000000"/>
                <w:kern w:val="0"/>
                <w:sz w:val="13"/>
                <w:szCs w:val="13"/>
              </w:rPr>
            </w:pPr>
          </w:p>
        </w:tc>
        <w:tc>
          <w:tcPr>
            <w:tcW w:w="394" w:type="pct"/>
            <w:vMerge w:val="continue"/>
            <w:tcBorders>
              <w:top w:val="single" w:color="auto" w:sz="4" w:space="0"/>
              <w:left w:val="single" w:color="auto" w:sz="4" w:space="0"/>
              <w:bottom w:val="single" w:color="auto" w:sz="4" w:space="0"/>
              <w:right w:val="single" w:color="auto" w:sz="4" w:space="0"/>
            </w:tcBorders>
            <w:vAlign w:val="center"/>
          </w:tcPr>
          <w:p w14:paraId="21116C78">
            <w:pPr>
              <w:widowControl/>
              <w:jc w:val="left"/>
              <w:rPr>
                <w:rFonts w:ascii="宋体" w:hAnsi="宋体" w:eastAsia="宋体" w:cs="Arial"/>
                <w:color w:val="000000"/>
                <w:kern w:val="0"/>
                <w:sz w:val="13"/>
                <w:szCs w:val="13"/>
              </w:rPr>
            </w:pPr>
          </w:p>
        </w:tc>
        <w:tc>
          <w:tcPr>
            <w:tcW w:w="345" w:type="pct"/>
            <w:vMerge w:val="continue"/>
            <w:tcBorders>
              <w:top w:val="single" w:color="auto" w:sz="4" w:space="0"/>
              <w:left w:val="single" w:color="auto" w:sz="4" w:space="0"/>
              <w:bottom w:val="single" w:color="auto" w:sz="4" w:space="0"/>
              <w:right w:val="single" w:color="auto" w:sz="4" w:space="0"/>
            </w:tcBorders>
            <w:vAlign w:val="center"/>
          </w:tcPr>
          <w:p w14:paraId="7BEE94A4">
            <w:pPr>
              <w:widowControl/>
              <w:jc w:val="left"/>
              <w:rPr>
                <w:rFonts w:ascii="宋体" w:hAnsi="宋体" w:eastAsia="宋体" w:cs="Arial"/>
                <w:color w:val="000000"/>
                <w:kern w:val="0"/>
                <w:sz w:val="13"/>
                <w:szCs w:val="13"/>
              </w:rPr>
            </w:pPr>
          </w:p>
        </w:tc>
        <w:tc>
          <w:tcPr>
            <w:tcW w:w="378" w:type="pct"/>
            <w:tcBorders>
              <w:top w:val="single" w:color="auto" w:sz="4" w:space="0"/>
              <w:left w:val="single" w:color="auto" w:sz="4" w:space="0"/>
              <w:bottom w:val="single" w:color="auto" w:sz="4" w:space="0"/>
              <w:right w:val="single" w:color="auto" w:sz="4" w:space="0"/>
            </w:tcBorders>
            <w:shd w:val="clear" w:color="auto" w:fill="auto"/>
            <w:vAlign w:val="center"/>
          </w:tcPr>
          <w:p w14:paraId="0C69C5A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422" w:type="pct"/>
            <w:tcBorders>
              <w:top w:val="single" w:color="auto" w:sz="4" w:space="0"/>
              <w:left w:val="single" w:color="auto" w:sz="4" w:space="0"/>
              <w:bottom w:val="single" w:color="auto" w:sz="4" w:space="0"/>
              <w:right w:val="single" w:color="auto" w:sz="4" w:space="0"/>
            </w:tcBorders>
            <w:shd w:val="clear" w:color="auto" w:fill="auto"/>
            <w:vAlign w:val="center"/>
          </w:tcPr>
          <w:p w14:paraId="10C59FA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一般公共预算拨款收入</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774F98B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257" w:type="pct"/>
            <w:tcBorders>
              <w:top w:val="single" w:color="auto" w:sz="4" w:space="0"/>
              <w:left w:val="single" w:color="auto" w:sz="4" w:space="0"/>
              <w:bottom w:val="single" w:color="auto" w:sz="4" w:space="0"/>
              <w:right w:val="single" w:color="auto" w:sz="4" w:space="0"/>
            </w:tcBorders>
            <w:shd w:val="clear" w:color="auto" w:fill="auto"/>
            <w:vAlign w:val="center"/>
          </w:tcPr>
          <w:p w14:paraId="25DC009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3FE4221A">
            <w:pPr>
              <w:widowControl/>
              <w:jc w:val="left"/>
              <w:rPr>
                <w:rFonts w:ascii="宋体" w:hAnsi="宋体" w:eastAsia="宋体" w:cs="Arial"/>
                <w:color w:val="000000"/>
                <w:kern w:val="0"/>
                <w:sz w:val="13"/>
                <w:szCs w:val="13"/>
              </w:rPr>
            </w:pPr>
          </w:p>
        </w:tc>
        <w:tc>
          <w:tcPr>
            <w:tcW w:w="367" w:type="pct"/>
            <w:vMerge w:val="continue"/>
            <w:tcBorders>
              <w:top w:val="single" w:color="auto" w:sz="4" w:space="0"/>
              <w:left w:val="single" w:color="auto" w:sz="4" w:space="0"/>
              <w:bottom w:val="single" w:color="auto" w:sz="4" w:space="0"/>
              <w:right w:val="single" w:color="auto" w:sz="4" w:space="0"/>
            </w:tcBorders>
            <w:vAlign w:val="center"/>
          </w:tcPr>
          <w:p w14:paraId="6B3ADAE5">
            <w:pPr>
              <w:widowControl/>
              <w:jc w:val="left"/>
              <w:rPr>
                <w:rFonts w:ascii="宋体" w:hAnsi="宋体" w:eastAsia="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14:paraId="3070C1CF">
            <w:pPr>
              <w:widowControl/>
              <w:jc w:val="left"/>
              <w:rPr>
                <w:rFonts w:ascii="宋体" w:hAnsi="宋体" w:eastAsia="宋体" w:cs="Arial"/>
                <w:color w:val="000000"/>
                <w:kern w:val="0"/>
                <w:sz w:val="13"/>
                <w:szCs w:val="13"/>
              </w:rPr>
            </w:pPr>
          </w:p>
        </w:tc>
        <w:tc>
          <w:tcPr>
            <w:tcW w:w="241" w:type="pct"/>
            <w:vMerge w:val="continue"/>
            <w:tcBorders>
              <w:top w:val="single" w:color="auto" w:sz="4" w:space="0"/>
              <w:left w:val="single" w:color="auto" w:sz="4" w:space="0"/>
              <w:bottom w:val="single" w:color="auto" w:sz="4" w:space="0"/>
              <w:right w:val="single" w:color="auto" w:sz="4" w:space="0"/>
            </w:tcBorders>
            <w:vAlign w:val="center"/>
          </w:tcPr>
          <w:p w14:paraId="3CFFEAF6">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2C277804">
            <w:pPr>
              <w:widowControl/>
              <w:jc w:val="left"/>
              <w:rPr>
                <w:rFonts w:ascii="宋体" w:hAnsi="宋体" w:eastAsia="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14:paraId="722A2A52">
            <w:pPr>
              <w:widowControl/>
              <w:jc w:val="left"/>
              <w:rPr>
                <w:rFonts w:ascii="宋体" w:hAnsi="宋体" w:eastAsia="宋体" w:cs="Arial"/>
                <w:color w:val="000000"/>
                <w:kern w:val="0"/>
                <w:sz w:val="13"/>
                <w:szCs w:val="13"/>
              </w:rPr>
            </w:pPr>
          </w:p>
        </w:tc>
        <w:tc>
          <w:tcPr>
            <w:tcW w:w="268" w:type="pct"/>
            <w:vMerge w:val="continue"/>
            <w:tcBorders>
              <w:top w:val="single" w:color="auto" w:sz="4" w:space="0"/>
              <w:left w:val="single" w:color="auto" w:sz="4" w:space="0"/>
              <w:bottom w:val="single" w:color="auto" w:sz="4" w:space="0"/>
              <w:right w:val="single" w:color="auto" w:sz="4" w:space="0"/>
            </w:tcBorders>
            <w:vAlign w:val="center"/>
          </w:tcPr>
          <w:p w14:paraId="03A5E118">
            <w:pPr>
              <w:widowControl/>
              <w:jc w:val="left"/>
              <w:rPr>
                <w:rFonts w:ascii="宋体" w:hAnsi="宋体" w:eastAsia="宋体" w:cs="Arial"/>
                <w:color w:val="000000"/>
                <w:kern w:val="0"/>
                <w:sz w:val="13"/>
                <w:szCs w:val="13"/>
              </w:rPr>
            </w:pPr>
          </w:p>
        </w:tc>
      </w:tr>
      <w:tr w14:paraId="1EAB6F3B">
        <w:tblPrEx>
          <w:tblCellMar>
            <w:top w:w="0" w:type="dxa"/>
            <w:left w:w="108" w:type="dxa"/>
            <w:bottom w:w="0" w:type="dxa"/>
            <w:right w:w="108" w:type="dxa"/>
          </w:tblCellMar>
        </w:tblPrEx>
        <w:trPr>
          <w:cantSplit/>
          <w:trHeight w:val="283"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84320A">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AF2BA7">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6901A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6A3F6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5F6FD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2816C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B6AD8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EBD61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A239B7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880B8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EA08AC">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A01726">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100FAE">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6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BBA8F0">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625A6C8B">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D60827">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合计</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136AD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1,097.94</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7DDEF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37.83</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7F139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1,049.71</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90D2CA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1,049.71</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24248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98F5B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0415D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4274E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B763F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87D347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3871E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44959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10.40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1F0C3DB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72738DE6">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B94D7B">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中共赣州市委信访局</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E2CDC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1,097.94</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F18B4A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37.83</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13388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1,049.71</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B25F3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1,049.71</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D9AB1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5E61E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A05CF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C00E7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33401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86A3B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5571A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DC0A8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10.40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1CEBC80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15ED1BCB">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20F2457B">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3F5DD7BC">
            <w:pPr>
              <w:widowControl/>
              <w:jc w:val="center"/>
              <w:rPr>
                <w:rFonts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部门支出总表</w:t>
            </w:r>
          </w:p>
        </w:tc>
      </w:tr>
      <w:tr w14:paraId="1678F804">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32F1F7E3">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114中共赣州市委信访局</w:t>
            </w:r>
          </w:p>
        </w:tc>
        <w:tc>
          <w:tcPr>
            <w:tcW w:w="914" w:type="pct"/>
            <w:tcBorders>
              <w:top w:val="nil"/>
              <w:left w:val="nil"/>
              <w:bottom w:val="nil"/>
              <w:right w:val="nil"/>
            </w:tcBorders>
            <w:shd w:val="clear" w:color="auto" w:fill="auto"/>
            <w:noWrap/>
            <w:vAlign w:val="bottom"/>
          </w:tcPr>
          <w:p w14:paraId="248C5A4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3CC350C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230BAB46">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7AC504DC">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7B4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0048FC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697B1C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6EA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24505F0">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7EE166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5112FF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3ECB261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5F986BB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7BE15EF8">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5DEE08DB">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058DF6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6A44E8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67607D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257F462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66735B7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497DAA2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407CE">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9F5FA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7F10E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1,097.94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94219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738.71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B81F5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359.23</w:t>
            </w:r>
          </w:p>
        </w:tc>
      </w:tr>
      <w:tr w14:paraId="19C91AB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F90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11B2F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一般公共服务支出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567EF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934.95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43368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575.72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96617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359.23</w:t>
            </w:r>
          </w:p>
        </w:tc>
      </w:tr>
      <w:tr w14:paraId="6C6F4F2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61C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20140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E4D2F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信访事务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CEF73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934.95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6007B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575.72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0D608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359.23</w:t>
            </w:r>
          </w:p>
        </w:tc>
      </w:tr>
      <w:tr w14:paraId="75B6064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47A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2014001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579E6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7040D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436.85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A97E5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436.85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0476C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077369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8DA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2014002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658BA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一般行政管理事务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F8E11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37.60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4AA97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2F4EE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37.60</w:t>
            </w:r>
          </w:p>
        </w:tc>
      </w:tr>
      <w:tr w14:paraId="31D2073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AA5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2014004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C5FC3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信访业务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34889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321.63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9401E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14D33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321.63</w:t>
            </w:r>
          </w:p>
        </w:tc>
      </w:tr>
      <w:tr w14:paraId="6B6D32A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20A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2014050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0EEBB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事业运行</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A1864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138.87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893BB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138.87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5C6D1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E93547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07E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7ABBF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9EB2D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59.78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73E53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59.78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F910F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CF84CD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B9D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FAF37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D1BD6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58.83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F81B8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6C7D5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E6C8DA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D87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46EDB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370B5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58.83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98464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63E49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365171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02C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2FA68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14559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0.96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42615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0.96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67E82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D01459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864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13BEE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4DDAB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0.96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79534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0.96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0936F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B2AFFA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C5F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8126D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F0E75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51.76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43706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51.76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909CA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3EAC31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79E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DA0A8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10946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51.76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3FD5A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51.76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ACA4B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DE6C69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F2B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02CEC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53638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17.94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2835D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17.94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068F2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B92342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A34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382F5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8CC61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7.05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2232C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7.05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CAF4F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141E67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349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324CE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382F9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26.77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2694C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26.77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E651B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34F4E5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AC7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F6289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BE3DF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51.45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2593B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51.45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E7CA3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21A030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637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78C56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31BA0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51.45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62C70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51.45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0EE9D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A3E218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11D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4345F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058BB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51.45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F4F23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51.45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E3001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6ED5E755">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4994"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1D5DE9DE">
        <w:tblPrEx>
          <w:tblCellMar>
            <w:top w:w="0" w:type="dxa"/>
            <w:left w:w="108" w:type="dxa"/>
            <w:bottom w:w="0" w:type="dxa"/>
            <w:right w:w="108" w:type="dxa"/>
          </w:tblCellMar>
        </w:tblPrEx>
        <w:trPr>
          <w:trHeight w:val="585" w:hRule="atLeast"/>
          <w:tblHeader/>
        </w:trPr>
        <w:tc>
          <w:tcPr>
            <w:tcW w:w="5000" w:type="pct"/>
            <w:gridSpan w:val="7"/>
            <w:noWrap/>
            <w:vAlign w:val="center"/>
          </w:tcPr>
          <w:p w14:paraId="490275F6">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1664F8C0">
        <w:tblPrEx>
          <w:tblCellMar>
            <w:top w:w="0" w:type="dxa"/>
            <w:left w:w="108" w:type="dxa"/>
            <w:bottom w:w="0" w:type="dxa"/>
            <w:right w:w="108" w:type="dxa"/>
          </w:tblCellMar>
        </w:tblPrEx>
        <w:trPr>
          <w:cantSplit/>
          <w:trHeight w:val="346" w:hRule="atLeast"/>
          <w:tblHeader/>
        </w:trPr>
        <w:tc>
          <w:tcPr>
            <w:tcW w:w="2573" w:type="pct"/>
            <w:gridSpan w:val="3"/>
            <w:noWrap/>
            <w:vAlign w:val="center"/>
          </w:tcPr>
          <w:p w14:paraId="647FECD4">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填报单位:114中共赣州市委信访局</w:t>
            </w:r>
          </w:p>
        </w:tc>
        <w:tc>
          <w:tcPr>
            <w:tcW w:w="577" w:type="pct"/>
            <w:noWrap/>
            <w:vAlign w:val="bottom"/>
          </w:tcPr>
          <w:p w14:paraId="489B0B9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1" w:type="pct"/>
            <w:noWrap/>
            <w:vAlign w:val="bottom"/>
          </w:tcPr>
          <w:p w14:paraId="6C15812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6" w:type="pct"/>
            <w:gridSpan w:val="2"/>
            <w:noWrap/>
            <w:vAlign w:val="center"/>
          </w:tcPr>
          <w:p w14:paraId="54CB781C">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7EF82AE1">
        <w:tblPrEx>
          <w:tblCellMar>
            <w:top w:w="0" w:type="dxa"/>
            <w:left w:w="108" w:type="dxa"/>
            <w:bottom w:w="0" w:type="dxa"/>
            <w:right w:w="108" w:type="dxa"/>
          </w:tblCellMar>
        </w:tblPrEx>
        <w:trPr>
          <w:cantSplit/>
          <w:trHeight w:val="283" w:hRule="atLeast"/>
          <w:tblHeader/>
        </w:trPr>
        <w:tc>
          <w:tcPr>
            <w:tcW w:w="1625" w:type="pct"/>
            <w:gridSpan w:val="2"/>
            <w:tcBorders>
              <w:top w:val="single" w:color="000000" w:sz="4" w:space="0"/>
              <w:left w:val="single" w:color="000000" w:sz="4" w:space="0"/>
              <w:bottom w:val="single" w:color="000000" w:sz="4" w:space="0"/>
              <w:right w:val="nil"/>
            </w:tcBorders>
            <w:noWrap/>
            <w:vAlign w:val="center"/>
          </w:tcPr>
          <w:p w14:paraId="3F756FF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4" w:type="pct"/>
            <w:gridSpan w:val="5"/>
            <w:tcBorders>
              <w:top w:val="single" w:color="000000" w:sz="4" w:space="0"/>
              <w:left w:val="single" w:color="000000" w:sz="4" w:space="0"/>
              <w:bottom w:val="single" w:color="000000" w:sz="4" w:space="0"/>
              <w:right w:val="single" w:color="000000" w:sz="4" w:space="0"/>
            </w:tcBorders>
            <w:noWrap/>
            <w:vAlign w:val="center"/>
          </w:tcPr>
          <w:p w14:paraId="62BAB60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479CCB48">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6EC48A4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45EBB10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7" w:type="pct"/>
            <w:tcBorders>
              <w:top w:val="nil"/>
              <w:left w:val="nil"/>
              <w:bottom w:val="single" w:color="000000" w:sz="4" w:space="0"/>
              <w:right w:val="single" w:color="000000" w:sz="4" w:space="0"/>
            </w:tcBorders>
            <w:noWrap/>
            <w:vAlign w:val="center"/>
          </w:tcPr>
          <w:p w14:paraId="3CFAB93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项目(按功能科目)</w:t>
            </w:r>
          </w:p>
        </w:tc>
        <w:tc>
          <w:tcPr>
            <w:tcW w:w="577" w:type="pct"/>
            <w:tcBorders>
              <w:top w:val="nil"/>
              <w:left w:val="nil"/>
              <w:bottom w:val="single" w:color="000000" w:sz="4" w:space="0"/>
              <w:right w:val="single" w:color="000000" w:sz="4" w:space="0"/>
            </w:tcBorders>
            <w:noWrap/>
            <w:vAlign w:val="center"/>
          </w:tcPr>
          <w:p w14:paraId="25C928F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1" w:type="pct"/>
            <w:tcBorders>
              <w:top w:val="nil"/>
              <w:left w:val="nil"/>
              <w:bottom w:val="single" w:color="000000" w:sz="4" w:space="0"/>
              <w:right w:val="single" w:color="000000" w:sz="4" w:space="0"/>
            </w:tcBorders>
            <w:noWrap/>
            <w:vAlign w:val="center"/>
          </w:tcPr>
          <w:p w14:paraId="0F82207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43225BF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4" w:type="pct"/>
            <w:tcBorders>
              <w:top w:val="nil"/>
              <w:left w:val="nil"/>
              <w:bottom w:val="single" w:color="000000" w:sz="4" w:space="0"/>
              <w:right w:val="single" w:color="000000" w:sz="4" w:space="0"/>
            </w:tcBorders>
            <w:noWrap/>
            <w:vAlign w:val="center"/>
          </w:tcPr>
          <w:p w14:paraId="1E01F84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17E3638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68A321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355EA6F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1,049.71</w:t>
            </w:r>
          </w:p>
        </w:tc>
        <w:tc>
          <w:tcPr>
            <w:tcW w:w="947" w:type="pct"/>
            <w:tcBorders>
              <w:top w:val="nil"/>
              <w:left w:val="nil"/>
              <w:bottom w:val="single" w:color="000000" w:sz="4" w:space="0"/>
              <w:right w:val="single" w:color="000000" w:sz="4" w:space="0"/>
            </w:tcBorders>
            <w:noWrap/>
            <w:vAlign w:val="center"/>
          </w:tcPr>
          <w:p w14:paraId="52DA23C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一般公共服务支出</w:t>
            </w:r>
          </w:p>
        </w:tc>
        <w:tc>
          <w:tcPr>
            <w:tcW w:w="577" w:type="pct"/>
            <w:tcBorders>
              <w:top w:val="nil"/>
              <w:left w:val="nil"/>
              <w:bottom w:val="single" w:color="000000" w:sz="4" w:space="0"/>
              <w:right w:val="single" w:color="000000" w:sz="4" w:space="0"/>
            </w:tcBorders>
            <w:noWrap/>
            <w:vAlign w:val="center"/>
          </w:tcPr>
          <w:p w14:paraId="799F40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924.55</w:t>
            </w:r>
          </w:p>
        </w:tc>
        <w:tc>
          <w:tcPr>
            <w:tcW w:w="611" w:type="pct"/>
            <w:tcBorders>
              <w:top w:val="nil"/>
              <w:left w:val="nil"/>
              <w:bottom w:val="single" w:color="000000" w:sz="4" w:space="0"/>
              <w:right w:val="single" w:color="000000" w:sz="4" w:space="0"/>
            </w:tcBorders>
            <w:noWrap/>
            <w:vAlign w:val="center"/>
          </w:tcPr>
          <w:p w14:paraId="0357456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924.55</w:t>
            </w:r>
          </w:p>
        </w:tc>
        <w:tc>
          <w:tcPr>
            <w:tcW w:w="602" w:type="pct"/>
            <w:tcBorders>
              <w:top w:val="nil"/>
              <w:left w:val="nil"/>
              <w:bottom w:val="single" w:color="000000" w:sz="4" w:space="0"/>
              <w:right w:val="single" w:color="000000" w:sz="4" w:space="0"/>
            </w:tcBorders>
            <w:noWrap/>
            <w:vAlign w:val="center"/>
          </w:tcPr>
          <w:p w14:paraId="07429B4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4" w:type="pct"/>
            <w:tcBorders>
              <w:top w:val="nil"/>
              <w:left w:val="nil"/>
              <w:bottom w:val="single" w:color="000000" w:sz="4" w:space="0"/>
              <w:right w:val="single" w:color="000000" w:sz="4" w:space="0"/>
            </w:tcBorders>
            <w:noWrap/>
            <w:vAlign w:val="center"/>
          </w:tcPr>
          <w:p w14:paraId="3820EB7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2A89E31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5226267">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一般公共预算拨款收入</w:t>
            </w:r>
          </w:p>
        </w:tc>
        <w:tc>
          <w:tcPr>
            <w:tcW w:w="657" w:type="pct"/>
            <w:noWrap/>
            <w:vAlign w:val="center"/>
          </w:tcPr>
          <w:p w14:paraId="6CCDAF0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1,049.71</w:t>
            </w:r>
          </w:p>
        </w:tc>
        <w:tc>
          <w:tcPr>
            <w:tcW w:w="947" w:type="pct"/>
            <w:tcBorders>
              <w:top w:val="nil"/>
              <w:left w:val="single" w:color="000000" w:sz="4" w:space="0"/>
              <w:bottom w:val="single" w:color="000000" w:sz="4" w:space="0"/>
              <w:right w:val="single" w:color="000000" w:sz="4" w:space="0"/>
            </w:tcBorders>
            <w:noWrap/>
            <w:vAlign w:val="center"/>
          </w:tcPr>
          <w:p w14:paraId="0CEBB9F4">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43B164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59.78</w:t>
            </w:r>
          </w:p>
        </w:tc>
        <w:tc>
          <w:tcPr>
            <w:tcW w:w="611" w:type="pct"/>
            <w:tcBorders>
              <w:top w:val="nil"/>
              <w:left w:val="nil"/>
              <w:bottom w:val="single" w:color="000000" w:sz="4" w:space="0"/>
              <w:right w:val="single" w:color="000000" w:sz="4" w:space="0"/>
            </w:tcBorders>
            <w:noWrap/>
            <w:vAlign w:val="center"/>
          </w:tcPr>
          <w:p w14:paraId="4D5EA1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59.78</w:t>
            </w:r>
          </w:p>
        </w:tc>
        <w:tc>
          <w:tcPr>
            <w:tcW w:w="602" w:type="pct"/>
            <w:tcBorders>
              <w:top w:val="nil"/>
              <w:left w:val="nil"/>
              <w:bottom w:val="single" w:color="000000" w:sz="4" w:space="0"/>
              <w:right w:val="single" w:color="000000" w:sz="4" w:space="0"/>
            </w:tcBorders>
            <w:noWrap/>
            <w:vAlign w:val="center"/>
          </w:tcPr>
          <w:p w14:paraId="16879B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4" w:type="pct"/>
            <w:tcBorders>
              <w:top w:val="nil"/>
              <w:left w:val="nil"/>
              <w:bottom w:val="single" w:color="000000" w:sz="4" w:space="0"/>
              <w:right w:val="single" w:color="000000" w:sz="4" w:space="0"/>
            </w:tcBorders>
            <w:noWrap/>
            <w:vAlign w:val="center"/>
          </w:tcPr>
          <w:p w14:paraId="58655A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6242E29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0E0A318">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3553A18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7" w:type="pct"/>
            <w:tcBorders>
              <w:top w:val="nil"/>
              <w:left w:val="nil"/>
              <w:bottom w:val="single" w:color="000000" w:sz="4" w:space="0"/>
              <w:right w:val="single" w:color="000000" w:sz="4" w:space="0"/>
            </w:tcBorders>
            <w:noWrap/>
            <w:vAlign w:val="center"/>
          </w:tcPr>
          <w:p w14:paraId="4653F1E0">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3663C9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51.76</w:t>
            </w:r>
          </w:p>
        </w:tc>
        <w:tc>
          <w:tcPr>
            <w:tcW w:w="611" w:type="pct"/>
            <w:tcBorders>
              <w:top w:val="nil"/>
              <w:left w:val="nil"/>
              <w:bottom w:val="single" w:color="000000" w:sz="4" w:space="0"/>
              <w:right w:val="single" w:color="000000" w:sz="4" w:space="0"/>
            </w:tcBorders>
            <w:noWrap/>
            <w:vAlign w:val="center"/>
          </w:tcPr>
          <w:p w14:paraId="267533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51.76</w:t>
            </w:r>
          </w:p>
        </w:tc>
        <w:tc>
          <w:tcPr>
            <w:tcW w:w="602" w:type="pct"/>
            <w:tcBorders>
              <w:top w:val="nil"/>
              <w:left w:val="nil"/>
              <w:bottom w:val="single" w:color="000000" w:sz="4" w:space="0"/>
              <w:right w:val="single" w:color="000000" w:sz="4" w:space="0"/>
            </w:tcBorders>
            <w:noWrap/>
            <w:vAlign w:val="center"/>
          </w:tcPr>
          <w:p w14:paraId="06E9E6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4" w:type="pct"/>
            <w:tcBorders>
              <w:top w:val="nil"/>
              <w:left w:val="nil"/>
              <w:bottom w:val="single" w:color="000000" w:sz="4" w:space="0"/>
              <w:right w:val="single" w:color="000000" w:sz="4" w:space="0"/>
            </w:tcBorders>
            <w:noWrap/>
            <w:vAlign w:val="center"/>
          </w:tcPr>
          <w:p w14:paraId="03F216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49F745D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7D2B31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60F757C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7" w:type="pct"/>
            <w:tcBorders>
              <w:top w:val="nil"/>
              <w:left w:val="nil"/>
              <w:bottom w:val="single" w:color="000000" w:sz="4" w:space="0"/>
              <w:right w:val="single" w:color="000000" w:sz="4" w:space="0"/>
            </w:tcBorders>
            <w:noWrap/>
            <w:vAlign w:val="center"/>
          </w:tcPr>
          <w:p w14:paraId="2A7E5279">
            <w:pPr>
              <w:widowControl/>
              <w:snapToGrid w:val="0"/>
              <w:jc w:val="center"/>
              <w:textAlignment w:val="center"/>
              <w:rPr>
                <w:rFonts w:hint="eastAsia" w:asciiTheme="minorEastAsia" w:hAnsiTheme="minorEastAsia" w:cstheme="minorEastAsia"/>
                <w:color w:val="000000"/>
                <w:kern w:val="0"/>
                <w:sz w:val="21"/>
                <w:szCs w:val="21"/>
                <w:lang w:bidi="ar"/>
              </w:rPr>
            </w:pPr>
            <w:r>
              <w:t>住房保障支出</w:t>
            </w:r>
          </w:p>
        </w:tc>
        <w:tc>
          <w:tcPr>
            <w:tcW w:w="577" w:type="pct"/>
            <w:tcBorders>
              <w:top w:val="nil"/>
              <w:left w:val="nil"/>
              <w:bottom w:val="single" w:color="000000" w:sz="4" w:space="0"/>
              <w:right w:val="single" w:color="000000" w:sz="4" w:space="0"/>
            </w:tcBorders>
            <w:noWrap/>
            <w:vAlign w:val="center"/>
          </w:tcPr>
          <w:p w14:paraId="69755A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51.45</w:t>
            </w:r>
          </w:p>
        </w:tc>
        <w:tc>
          <w:tcPr>
            <w:tcW w:w="611" w:type="pct"/>
            <w:tcBorders>
              <w:top w:val="nil"/>
              <w:left w:val="nil"/>
              <w:bottom w:val="single" w:color="000000" w:sz="4" w:space="0"/>
              <w:right w:val="single" w:color="000000" w:sz="4" w:space="0"/>
            </w:tcBorders>
            <w:noWrap/>
            <w:vAlign w:val="center"/>
          </w:tcPr>
          <w:p w14:paraId="3D5A80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51.45</w:t>
            </w:r>
          </w:p>
        </w:tc>
        <w:tc>
          <w:tcPr>
            <w:tcW w:w="602" w:type="pct"/>
            <w:tcBorders>
              <w:top w:val="nil"/>
              <w:left w:val="nil"/>
              <w:bottom w:val="single" w:color="000000" w:sz="4" w:space="0"/>
              <w:right w:val="single" w:color="000000" w:sz="4" w:space="0"/>
            </w:tcBorders>
            <w:noWrap/>
            <w:vAlign w:val="center"/>
          </w:tcPr>
          <w:p w14:paraId="6E88DE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4" w:type="pct"/>
            <w:tcBorders>
              <w:top w:val="nil"/>
              <w:left w:val="nil"/>
              <w:bottom w:val="single" w:color="000000" w:sz="4" w:space="0"/>
              <w:right w:val="single" w:color="000000" w:sz="4" w:space="0"/>
            </w:tcBorders>
            <w:noWrap/>
            <w:vAlign w:val="center"/>
          </w:tcPr>
          <w:p w14:paraId="3D99F5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015AD05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15FF78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0D1447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7" w:type="pct"/>
            <w:tcBorders>
              <w:top w:val="nil"/>
              <w:left w:val="nil"/>
              <w:bottom w:val="single" w:color="000000" w:sz="4" w:space="0"/>
              <w:right w:val="single" w:color="000000" w:sz="4" w:space="0"/>
            </w:tcBorders>
            <w:noWrap/>
            <w:vAlign w:val="center"/>
          </w:tcPr>
          <w:p w14:paraId="18E4738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B5B06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1" w:type="pct"/>
            <w:tcBorders>
              <w:top w:val="nil"/>
              <w:left w:val="nil"/>
              <w:bottom w:val="single" w:color="000000" w:sz="4" w:space="0"/>
              <w:right w:val="single" w:color="000000" w:sz="4" w:space="0"/>
            </w:tcBorders>
            <w:noWrap/>
            <w:vAlign w:val="center"/>
          </w:tcPr>
          <w:p w14:paraId="00C52E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587D0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4" w:type="pct"/>
            <w:tcBorders>
              <w:top w:val="nil"/>
              <w:left w:val="nil"/>
              <w:bottom w:val="single" w:color="000000" w:sz="4" w:space="0"/>
              <w:right w:val="single" w:color="000000" w:sz="4" w:space="0"/>
            </w:tcBorders>
            <w:noWrap/>
            <w:vAlign w:val="center"/>
          </w:tcPr>
          <w:p w14:paraId="7ACBC1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A98A6B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96316D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79A2165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37.83　</w:t>
            </w:r>
          </w:p>
        </w:tc>
        <w:tc>
          <w:tcPr>
            <w:tcW w:w="947" w:type="pct"/>
            <w:tcBorders>
              <w:top w:val="nil"/>
              <w:left w:val="nil"/>
              <w:bottom w:val="single" w:color="auto" w:sz="4" w:space="0"/>
              <w:right w:val="single" w:color="000000" w:sz="4" w:space="0"/>
            </w:tcBorders>
            <w:noWrap/>
            <w:vAlign w:val="center"/>
          </w:tcPr>
          <w:p w14:paraId="4D46DFA7">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4BDE28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1" w:type="pct"/>
            <w:tcBorders>
              <w:top w:val="nil"/>
              <w:left w:val="nil"/>
              <w:bottom w:val="single" w:color="000000" w:sz="4" w:space="0"/>
              <w:right w:val="single" w:color="000000" w:sz="4" w:space="0"/>
            </w:tcBorders>
            <w:noWrap/>
            <w:vAlign w:val="center"/>
          </w:tcPr>
          <w:p w14:paraId="41EE2D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0C062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4" w:type="pct"/>
            <w:tcBorders>
              <w:top w:val="nil"/>
              <w:left w:val="nil"/>
              <w:bottom w:val="single" w:color="000000" w:sz="4" w:space="0"/>
              <w:right w:val="single" w:color="000000" w:sz="4" w:space="0"/>
            </w:tcBorders>
            <w:noWrap/>
            <w:vAlign w:val="center"/>
          </w:tcPr>
          <w:p w14:paraId="6A9F3C11">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25B33F4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66207FF8">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一般公共预算拨款结转</w:t>
            </w:r>
          </w:p>
        </w:tc>
        <w:tc>
          <w:tcPr>
            <w:tcW w:w="657" w:type="pct"/>
            <w:tcBorders>
              <w:top w:val="single" w:color="auto" w:sz="4" w:space="0"/>
              <w:left w:val="single" w:color="auto" w:sz="4" w:space="0"/>
              <w:bottom w:val="single" w:color="auto" w:sz="4" w:space="0"/>
              <w:right w:val="single" w:color="auto" w:sz="4" w:space="0"/>
            </w:tcBorders>
            <w:vAlign w:val="center"/>
          </w:tcPr>
          <w:p w14:paraId="2A6A7AC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37.83　</w:t>
            </w:r>
          </w:p>
        </w:tc>
        <w:tc>
          <w:tcPr>
            <w:tcW w:w="947" w:type="pct"/>
            <w:tcBorders>
              <w:top w:val="single" w:color="auto" w:sz="4" w:space="0"/>
              <w:left w:val="single" w:color="auto" w:sz="4" w:space="0"/>
              <w:bottom w:val="single" w:color="auto" w:sz="4" w:space="0"/>
              <w:right w:val="single" w:color="auto" w:sz="4" w:space="0"/>
            </w:tcBorders>
            <w:noWrap/>
            <w:vAlign w:val="center"/>
          </w:tcPr>
          <w:p w14:paraId="02855AB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223F77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1" w:type="pct"/>
            <w:tcBorders>
              <w:top w:val="nil"/>
              <w:left w:val="nil"/>
              <w:bottom w:val="single" w:color="auto" w:sz="4" w:space="0"/>
              <w:right w:val="single" w:color="000000" w:sz="4" w:space="0"/>
            </w:tcBorders>
            <w:noWrap/>
            <w:vAlign w:val="center"/>
          </w:tcPr>
          <w:p w14:paraId="13E4DC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4E0D79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4" w:type="pct"/>
            <w:tcBorders>
              <w:top w:val="nil"/>
              <w:left w:val="nil"/>
              <w:bottom w:val="single" w:color="auto" w:sz="4" w:space="0"/>
              <w:right w:val="single" w:color="000000" w:sz="4" w:space="0"/>
            </w:tcBorders>
            <w:noWrap/>
            <w:vAlign w:val="center"/>
          </w:tcPr>
          <w:p w14:paraId="1A25CA46">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7C7DA0F6">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17BC72B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116A0FE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7" w:type="pct"/>
            <w:tcBorders>
              <w:top w:val="single" w:color="auto" w:sz="4" w:space="0"/>
              <w:left w:val="single" w:color="auto" w:sz="4" w:space="0"/>
              <w:bottom w:val="single" w:color="auto" w:sz="4" w:space="0"/>
              <w:right w:val="single" w:color="auto" w:sz="4" w:space="0"/>
            </w:tcBorders>
            <w:noWrap/>
            <w:vAlign w:val="center"/>
          </w:tcPr>
          <w:p w14:paraId="58A5C1A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16EB16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1" w:type="pct"/>
            <w:tcBorders>
              <w:top w:val="single" w:color="auto" w:sz="4" w:space="0"/>
              <w:left w:val="single" w:color="auto" w:sz="4" w:space="0"/>
              <w:bottom w:val="single" w:color="auto" w:sz="4" w:space="0"/>
              <w:right w:val="single" w:color="auto" w:sz="4" w:space="0"/>
            </w:tcBorders>
            <w:noWrap/>
            <w:vAlign w:val="center"/>
          </w:tcPr>
          <w:p w14:paraId="4C0344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347059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4" w:type="pct"/>
            <w:tcBorders>
              <w:top w:val="single" w:color="auto" w:sz="4" w:space="0"/>
              <w:left w:val="single" w:color="auto" w:sz="4" w:space="0"/>
              <w:bottom w:val="single" w:color="auto" w:sz="4" w:space="0"/>
              <w:right w:val="single" w:color="auto" w:sz="4" w:space="0"/>
            </w:tcBorders>
            <w:noWrap/>
            <w:vAlign w:val="center"/>
          </w:tcPr>
          <w:p w14:paraId="775B5204">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0B56B568">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7B39EEC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01CD3A3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1,087.54</w:t>
            </w:r>
          </w:p>
        </w:tc>
        <w:tc>
          <w:tcPr>
            <w:tcW w:w="947" w:type="pct"/>
            <w:tcBorders>
              <w:top w:val="single" w:color="auto" w:sz="4" w:space="0"/>
              <w:left w:val="single" w:color="auto" w:sz="4" w:space="0"/>
              <w:bottom w:val="single" w:color="auto" w:sz="4" w:space="0"/>
              <w:right w:val="single" w:color="auto" w:sz="4" w:space="0"/>
            </w:tcBorders>
            <w:noWrap/>
            <w:vAlign w:val="center"/>
          </w:tcPr>
          <w:p w14:paraId="49B1E66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16D6A9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1,087.54</w:t>
            </w:r>
          </w:p>
        </w:tc>
        <w:tc>
          <w:tcPr>
            <w:tcW w:w="611" w:type="pct"/>
            <w:tcBorders>
              <w:top w:val="single" w:color="auto" w:sz="4" w:space="0"/>
              <w:left w:val="single" w:color="auto" w:sz="4" w:space="0"/>
              <w:bottom w:val="single" w:color="auto" w:sz="4" w:space="0"/>
              <w:right w:val="single" w:color="auto" w:sz="4" w:space="0"/>
            </w:tcBorders>
            <w:noWrap/>
            <w:vAlign w:val="center"/>
          </w:tcPr>
          <w:p w14:paraId="153F68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1,087.54</w:t>
            </w:r>
          </w:p>
        </w:tc>
        <w:tc>
          <w:tcPr>
            <w:tcW w:w="602" w:type="pct"/>
            <w:tcBorders>
              <w:top w:val="single" w:color="auto" w:sz="4" w:space="0"/>
              <w:left w:val="single" w:color="auto" w:sz="4" w:space="0"/>
              <w:bottom w:val="single" w:color="auto" w:sz="4" w:space="0"/>
              <w:right w:val="single" w:color="auto" w:sz="4" w:space="0"/>
            </w:tcBorders>
            <w:noWrap/>
            <w:vAlign w:val="center"/>
          </w:tcPr>
          <w:p w14:paraId="02A719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4" w:type="pct"/>
            <w:tcBorders>
              <w:top w:val="single" w:color="auto" w:sz="4" w:space="0"/>
              <w:left w:val="single" w:color="auto" w:sz="4" w:space="0"/>
              <w:bottom w:val="single" w:color="auto" w:sz="4" w:space="0"/>
              <w:right w:val="single" w:color="auto" w:sz="4" w:space="0"/>
            </w:tcBorders>
            <w:noWrap/>
            <w:vAlign w:val="center"/>
          </w:tcPr>
          <w:p w14:paraId="26BED5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0DB840C0">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0E562296">
        <w:tblPrEx>
          <w:tblCellMar>
            <w:top w:w="0" w:type="dxa"/>
            <w:left w:w="108" w:type="dxa"/>
            <w:bottom w:w="0" w:type="dxa"/>
            <w:right w:w="108" w:type="dxa"/>
          </w:tblCellMar>
        </w:tblPrEx>
        <w:trPr>
          <w:trHeight w:val="585" w:hRule="atLeast"/>
          <w:tblHeader/>
        </w:trPr>
        <w:tc>
          <w:tcPr>
            <w:tcW w:w="5000" w:type="pct"/>
            <w:gridSpan w:val="5"/>
            <w:noWrap/>
            <w:vAlign w:val="center"/>
          </w:tcPr>
          <w:p w14:paraId="2CE8B671">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2E3EA40F">
        <w:tblPrEx>
          <w:tblCellMar>
            <w:top w:w="0" w:type="dxa"/>
            <w:left w:w="108" w:type="dxa"/>
            <w:bottom w:w="0" w:type="dxa"/>
            <w:right w:w="108" w:type="dxa"/>
          </w:tblCellMar>
        </w:tblPrEx>
        <w:trPr>
          <w:trHeight w:val="420" w:hRule="atLeast"/>
          <w:tblHeader/>
        </w:trPr>
        <w:tc>
          <w:tcPr>
            <w:tcW w:w="2433" w:type="pct"/>
            <w:gridSpan w:val="2"/>
            <w:noWrap/>
            <w:vAlign w:val="center"/>
          </w:tcPr>
          <w:p w14:paraId="1D4964C2">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填报单位:114中共赣州市委信访局</w:t>
            </w:r>
          </w:p>
        </w:tc>
        <w:tc>
          <w:tcPr>
            <w:tcW w:w="1056" w:type="pct"/>
            <w:noWrap/>
            <w:vAlign w:val="bottom"/>
          </w:tcPr>
          <w:p w14:paraId="5451FDA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42C3DA8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52D6FD6F">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ED64928">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22E8C6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25EDB3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09B4A328">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4913E6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66C3D6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0C81DF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15314A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121551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FA46D28">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43EF72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5FF08C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7CB567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2EA5490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6D19AE7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309F099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56D0C6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57C51D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7AB999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1,049.71</w:t>
            </w:r>
          </w:p>
        </w:tc>
        <w:tc>
          <w:tcPr>
            <w:tcW w:w="684" w:type="pct"/>
            <w:tcBorders>
              <w:top w:val="single" w:color="000000" w:sz="4" w:space="0"/>
              <w:left w:val="nil"/>
              <w:bottom w:val="single" w:color="000000" w:sz="4" w:space="0"/>
              <w:right w:val="single" w:color="000000" w:sz="4" w:space="0"/>
            </w:tcBorders>
            <w:noWrap/>
            <w:vAlign w:val="center"/>
          </w:tcPr>
          <w:p w14:paraId="0FE1CE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738.71</w:t>
            </w:r>
          </w:p>
        </w:tc>
        <w:tc>
          <w:tcPr>
            <w:tcW w:w="825" w:type="pct"/>
            <w:tcBorders>
              <w:top w:val="single" w:color="000000" w:sz="4" w:space="0"/>
              <w:left w:val="nil"/>
              <w:bottom w:val="single" w:color="000000" w:sz="4" w:space="0"/>
              <w:right w:val="single" w:color="000000" w:sz="4" w:space="0"/>
            </w:tcBorders>
            <w:noWrap/>
            <w:vAlign w:val="center"/>
          </w:tcPr>
          <w:p w14:paraId="475C73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311.00</w:t>
            </w:r>
          </w:p>
        </w:tc>
      </w:tr>
      <w:tr w14:paraId="1BA1632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8D171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201</w:t>
            </w:r>
          </w:p>
        </w:tc>
        <w:tc>
          <w:tcPr>
            <w:tcW w:w="1579" w:type="pct"/>
            <w:tcBorders>
              <w:top w:val="single" w:color="000000" w:sz="4" w:space="0"/>
              <w:left w:val="nil"/>
              <w:bottom w:val="single" w:color="000000" w:sz="4" w:space="0"/>
              <w:right w:val="single" w:color="000000" w:sz="4" w:space="0"/>
            </w:tcBorders>
            <w:noWrap/>
            <w:vAlign w:val="center"/>
          </w:tcPr>
          <w:p w14:paraId="3FA50F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一般公共服务支出</w:t>
            </w:r>
          </w:p>
        </w:tc>
        <w:tc>
          <w:tcPr>
            <w:tcW w:w="1056" w:type="pct"/>
            <w:tcBorders>
              <w:top w:val="single" w:color="000000" w:sz="4" w:space="0"/>
              <w:left w:val="nil"/>
              <w:bottom w:val="single" w:color="000000" w:sz="4" w:space="0"/>
              <w:right w:val="single" w:color="000000" w:sz="4" w:space="0"/>
            </w:tcBorders>
            <w:noWrap/>
            <w:vAlign w:val="center"/>
          </w:tcPr>
          <w:p w14:paraId="2B28C6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886.72</w:t>
            </w:r>
          </w:p>
        </w:tc>
        <w:tc>
          <w:tcPr>
            <w:tcW w:w="684" w:type="pct"/>
            <w:tcBorders>
              <w:top w:val="single" w:color="000000" w:sz="4" w:space="0"/>
              <w:left w:val="nil"/>
              <w:bottom w:val="single" w:color="000000" w:sz="4" w:space="0"/>
              <w:right w:val="single" w:color="000000" w:sz="4" w:space="0"/>
            </w:tcBorders>
            <w:noWrap/>
            <w:vAlign w:val="center"/>
          </w:tcPr>
          <w:p w14:paraId="09B171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575.72</w:t>
            </w:r>
          </w:p>
        </w:tc>
        <w:tc>
          <w:tcPr>
            <w:tcW w:w="825" w:type="pct"/>
            <w:tcBorders>
              <w:top w:val="single" w:color="000000" w:sz="4" w:space="0"/>
              <w:left w:val="nil"/>
              <w:bottom w:val="single" w:color="000000" w:sz="4" w:space="0"/>
              <w:right w:val="single" w:color="000000" w:sz="4" w:space="0"/>
            </w:tcBorders>
            <w:noWrap/>
            <w:vAlign w:val="center"/>
          </w:tcPr>
          <w:p w14:paraId="103F49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311.00</w:t>
            </w:r>
          </w:p>
        </w:tc>
      </w:tr>
      <w:tr w14:paraId="1203804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9467A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20140</w:t>
            </w:r>
          </w:p>
        </w:tc>
        <w:tc>
          <w:tcPr>
            <w:tcW w:w="1579" w:type="pct"/>
            <w:tcBorders>
              <w:top w:val="single" w:color="000000" w:sz="4" w:space="0"/>
              <w:left w:val="nil"/>
              <w:bottom w:val="single" w:color="000000" w:sz="4" w:space="0"/>
              <w:right w:val="single" w:color="000000" w:sz="4" w:space="0"/>
            </w:tcBorders>
            <w:noWrap/>
            <w:vAlign w:val="center"/>
          </w:tcPr>
          <w:p w14:paraId="7CC55D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信访事务</w:t>
            </w:r>
          </w:p>
        </w:tc>
        <w:tc>
          <w:tcPr>
            <w:tcW w:w="1056" w:type="pct"/>
            <w:tcBorders>
              <w:top w:val="single" w:color="000000" w:sz="4" w:space="0"/>
              <w:left w:val="nil"/>
              <w:bottom w:val="single" w:color="000000" w:sz="4" w:space="0"/>
              <w:right w:val="single" w:color="000000" w:sz="4" w:space="0"/>
            </w:tcBorders>
            <w:noWrap/>
            <w:vAlign w:val="center"/>
          </w:tcPr>
          <w:p w14:paraId="7CFD24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886.72</w:t>
            </w:r>
          </w:p>
        </w:tc>
        <w:tc>
          <w:tcPr>
            <w:tcW w:w="684" w:type="pct"/>
            <w:tcBorders>
              <w:top w:val="single" w:color="000000" w:sz="4" w:space="0"/>
              <w:left w:val="nil"/>
              <w:bottom w:val="single" w:color="000000" w:sz="4" w:space="0"/>
              <w:right w:val="single" w:color="000000" w:sz="4" w:space="0"/>
            </w:tcBorders>
            <w:noWrap/>
            <w:vAlign w:val="center"/>
          </w:tcPr>
          <w:p w14:paraId="6450B1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575.72</w:t>
            </w:r>
          </w:p>
        </w:tc>
        <w:tc>
          <w:tcPr>
            <w:tcW w:w="825" w:type="pct"/>
            <w:tcBorders>
              <w:top w:val="single" w:color="000000" w:sz="4" w:space="0"/>
              <w:left w:val="nil"/>
              <w:bottom w:val="single" w:color="000000" w:sz="4" w:space="0"/>
              <w:right w:val="single" w:color="000000" w:sz="4" w:space="0"/>
            </w:tcBorders>
            <w:noWrap/>
            <w:vAlign w:val="center"/>
          </w:tcPr>
          <w:p w14:paraId="5BB177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311.00</w:t>
            </w:r>
          </w:p>
        </w:tc>
      </w:tr>
      <w:tr w14:paraId="6D6C51C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9FB21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2014001</w:t>
            </w:r>
          </w:p>
        </w:tc>
        <w:tc>
          <w:tcPr>
            <w:tcW w:w="1579" w:type="pct"/>
            <w:tcBorders>
              <w:top w:val="single" w:color="000000" w:sz="4" w:space="0"/>
              <w:left w:val="nil"/>
              <w:bottom w:val="single" w:color="000000" w:sz="4" w:space="0"/>
              <w:right w:val="single" w:color="000000" w:sz="4" w:space="0"/>
            </w:tcBorders>
            <w:noWrap/>
            <w:vAlign w:val="center"/>
          </w:tcPr>
          <w:p w14:paraId="5C7A3D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1056" w:type="pct"/>
            <w:tcBorders>
              <w:top w:val="single" w:color="000000" w:sz="4" w:space="0"/>
              <w:left w:val="nil"/>
              <w:bottom w:val="single" w:color="000000" w:sz="4" w:space="0"/>
              <w:right w:val="single" w:color="000000" w:sz="4" w:space="0"/>
            </w:tcBorders>
            <w:noWrap/>
            <w:vAlign w:val="center"/>
          </w:tcPr>
          <w:p w14:paraId="6C3208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436.85</w:t>
            </w:r>
          </w:p>
        </w:tc>
        <w:tc>
          <w:tcPr>
            <w:tcW w:w="684" w:type="pct"/>
            <w:tcBorders>
              <w:top w:val="single" w:color="000000" w:sz="4" w:space="0"/>
              <w:left w:val="nil"/>
              <w:bottom w:val="single" w:color="000000" w:sz="4" w:space="0"/>
              <w:right w:val="single" w:color="000000" w:sz="4" w:space="0"/>
            </w:tcBorders>
            <w:noWrap/>
            <w:vAlign w:val="center"/>
          </w:tcPr>
          <w:p w14:paraId="72682B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436.85</w:t>
            </w:r>
          </w:p>
        </w:tc>
        <w:tc>
          <w:tcPr>
            <w:tcW w:w="825" w:type="pct"/>
            <w:tcBorders>
              <w:top w:val="single" w:color="000000" w:sz="4" w:space="0"/>
              <w:left w:val="nil"/>
              <w:bottom w:val="single" w:color="000000" w:sz="4" w:space="0"/>
              <w:right w:val="single" w:color="000000" w:sz="4" w:space="0"/>
            </w:tcBorders>
            <w:noWrap/>
            <w:vAlign w:val="center"/>
          </w:tcPr>
          <w:p w14:paraId="737A97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E891CE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9904C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2014004</w:t>
            </w:r>
          </w:p>
        </w:tc>
        <w:tc>
          <w:tcPr>
            <w:tcW w:w="1579" w:type="pct"/>
            <w:tcBorders>
              <w:top w:val="single" w:color="000000" w:sz="4" w:space="0"/>
              <w:left w:val="nil"/>
              <w:bottom w:val="single" w:color="000000" w:sz="4" w:space="0"/>
              <w:right w:val="single" w:color="000000" w:sz="4" w:space="0"/>
            </w:tcBorders>
            <w:noWrap/>
            <w:vAlign w:val="center"/>
          </w:tcPr>
          <w:p w14:paraId="791A9D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信访业务</w:t>
            </w:r>
          </w:p>
        </w:tc>
        <w:tc>
          <w:tcPr>
            <w:tcW w:w="1056" w:type="pct"/>
            <w:tcBorders>
              <w:top w:val="single" w:color="000000" w:sz="4" w:space="0"/>
              <w:left w:val="nil"/>
              <w:bottom w:val="single" w:color="000000" w:sz="4" w:space="0"/>
              <w:right w:val="single" w:color="000000" w:sz="4" w:space="0"/>
            </w:tcBorders>
            <w:noWrap/>
            <w:vAlign w:val="center"/>
          </w:tcPr>
          <w:p w14:paraId="4BC556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311.00</w:t>
            </w:r>
          </w:p>
        </w:tc>
        <w:tc>
          <w:tcPr>
            <w:tcW w:w="684" w:type="pct"/>
            <w:tcBorders>
              <w:top w:val="single" w:color="000000" w:sz="4" w:space="0"/>
              <w:left w:val="nil"/>
              <w:bottom w:val="single" w:color="000000" w:sz="4" w:space="0"/>
              <w:right w:val="single" w:color="000000" w:sz="4" w:space="0"/>
            </w:tcBorders>
            <w:noWrap/>
            <w:vAlign w:val="center"/>
          </w:tcPr>
          <w:p w14:paraId="23E934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412F02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311.00</w:t>
            </w:r>
          </w:p>
        </w:tc>
      </w:tr>
      <w:tr w14:paraId="4F7F705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2286B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2014050</w:t>
            </w:r>
          </w:p>
        </w:tc>
        <w:tc>
          <w:tcPr>
            <w:tcW w:w="1579" w:type="pct"/>
            <w:tcBorders>
              <w:top w:val="single" w:color="000000" w:sz="4" w:space="0"/>
              <w:left w:val="nil"/>
              <w:bottom w:val="single" w:color="000000" w:sz="4" w:space="0"/>
              <w:right w:val="single" w:color="000000" w:sz="4" w:space="0"/>
            </w:tcBorders>
            <w:noWrap/>
            <w:vAlign w:val="center"/>
          </w:tcPr>
          <w:p w14:paraId="599F28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事业运行</w:t>
            </w:r>
          </w:p>
        </w:tc>
        <w:tc>
          <w:tcPr>
            <w:tcW w:w="1056" w:type="pct"/>
            <w:tcBorders>
              <w:top w:val="single" w:color="000000" w:sz="4" w:space="0"/>
              <w:left w:val="nil"/>
              <w:bottom w:val="single" w:color="000000" w:sz="4" w:space="0"/>
              <w:right w:val="single" w:color="000000" w:sz="4" w:space="0"/>
            </w:tcBorders>
            <w:noWrap/>
            <w:vAlign w:val="center"/>
          </w:tcPr>
          <w:p w14:paraId="015594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138.87</w:t>
            </w:r>
          </w:p>
        </w:tc>
        <w:tc>
          <w:tcPr>
            <w:tcW w:w="684" w:type="pct"/>
            <w:tcBorders>
              <w:top w:val="single" w:color="000000" w:sz="4" w:space="0"/>
              <w:left w:val="nil"/>
              <w:bottom w:val="single" w:color="000000" w:sz="4" w:space="0"/>
              <w:right w:val="single" w:color="000000" w:sz="4" w:space="0"/>
            </w:tcBorders>
            <w:noWrap/>
            <w:vAlign w:val="center"/>
          </w:tcPr>
          <w:p w14:paraId="6BC01D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138.87</w:t>
            </w:r>
          </w:p>
        </w:tc>
        <w:tc>
          <w:tcPr>
            <w:tcW w:w="825" w:type="pct"/>
            <w:tcBorders>
              <w:top w:val="single" w:color="000000" w:sz="4" w:space="0"/>
              <w:left w:val="nil"/>
              <w:bottom w:val="single" w:color="000000" w:sz="4" w:space="0"/>
              <w:right w:val="single" w:color="000000" w:sz="4" w:space="0"/>
            </w:tcBorders>
            <w:noWrap/>
            <w:vAlign w:val="center"/>
          </w:tcPr>
          <w:p w14:paraId="32861E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27831B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7A106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04C58F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474073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59.78</w:t>
            </w:r>
          </w:p>
        </w:tc>
        <w:tc>
          <w:tcPr>
            <w:tcW w:w="684" w:type="pct"/>
            <w:tcBorders>
              <w:top w:val="single" w:color="000000" w:sz="4" w:space="0"/>
              <w:left w:val="nil"/>
              <w:bottom w:val="single" w:color="000000" w:sz="4" w:space="0"/>
              <w:right w:val="single" w:color="000000" w:sz="4" w:space="0"/>
            </w:tcBorders>
            <w:noWrap/>
            <w:vAlign w:val="center"/>
          </w:tcPr>
          <w:p w14:paraId="360B92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59.78</w:t>
            </w:r>
          </w:p>
        </w:tc>
        <w:tc>
          <w:tcPr>
            <w:tcW w:w="825" w:type="pct"/>
            <w:tcBorders>
              <w:top w:val="single" w:color="000000" w:sz="4" w:space="0"/>
              <w:left w:val="nil"/>
              <w:bottom w:val="single" w:color="000000" w:sz="4" w:space="0"/>
              <w:right w:val="single" w:color="000000" w:sz="4" w:space="0"/>
            </w:tcBorders>
            <w:noWrap/>
            <w:vAlign w:val="center"/>
          </w:tcPr>
          <w:p w14:paraId="76D0EA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38D93F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62CF0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77EC18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6630A9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58.83</w:t>
            </w:r>
          </w:p>
        </w:tc>
        <w:tc>
          <w:tcPr>
            <w:tcW w:w="684" w:type="pct"/>
            <w:tcBorders>
              <w:top w:val="single" w:color="000000" w:sz="4" w:space="0"/>
              <w:left w:val="nil"/>
              <w:bottom w:val="single" w:color="000000" w:sz="4" w:space="0"/>
              <w:right w:val="single" w:color="000000" w:sz="4" w:space="0"/>
            </w:tcBorders>
            <w:noWrap/>
            <w:vAlign w:val="center"/>
          </w:tcPr>
          <w:p w14:paraId="29A1BC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58.83</w:t>
            </w:r>
          </w:p>
        </w:tc>
        <w:tc>
          <w:tcPr>
            <w:tcW w:w="825" w:type="pct"/>
            <w:tcBorders>
              <w:top w:val="single" w:color="000000" w:sz="4" w:space="0"/>
              <w:left w:val="nil"/>
              <w:bottom w:val="single" w:color="000000" w:sz="4" w:space="0"/>
              <w:right w:val="single" w:color="000000" w:sz="4" w:space="0"/>
            </w:tcBorders>
            <w:noWrap/>
            <w:vAlign w:val="center"/>
          </w:tcPr>
          <w:p w14:paraId="20E7F1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BB783F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72F70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4C67C0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70D9A9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58.83</w:t>
            </w:r>
          </w:p>
        </w:tc>
        <w:tc>
          <w:tcPr>
            <w:tcW w:w="684" w:type="pct"/>
            <w:tcBorders>
              <w:top w:val="single" w:color="000000" w:sz="4" w:space="0"/>
              <w:left w:val="nil"/>
              <w:bottom w:val="single" w:color="000000" w:sz="4" w:space="0"/>
              <w:right w:val="single" w:color="000000" w:sz="4" w:space="0"/>
            </w:tcBorders>
            <w:noWrap/>
            <w:vAlign w:val="center"/>
          </w:tcPr>
          <w:p w14:paraId="3C45F3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58.83</w:t>
            </w:r>
          </w:p>
        </w:tc>
        <w:tc>
          <w:tcPr>
            <w:tcW w:w="825" w:type="pct"/>
            <w:tcBorders>
              <w:top w:val="single" w:color="000000" w:sz="4" w:space="0"/>
              <w:left w:val="nil"/>
              <w:bottom w:val="single" w:color="000000" w:sz="4" w:space="0"/>
              <w:right w:val="single" w:color="000000" w:sz="4" w:space="0"/>
            </w:tcBorders>
            <w:noWrap/>
            <w:vAlign w:val="center"/>
          </w:tcPr>
          <w:p w14:paraId="446266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8BDD3D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1CD35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152779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0308BB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0.96</w:t>
            </w:r>
          </w:p>
        </w:tc>
        <w:tc>
          <w:tcPr>
            <w:tcW w:w="684" w:type="pct"/>
            <w:tcBorders>
              <w:top w:val="single" w:color="000000" w:sz="4" w:space="0"/>
              <w:left w:val="nil"/>
              <w:bottom w:val="single" w:color="000000" w:sz="4" w:space="0"/>
              <w:right w:val="single" w:color="000000" w:sz="4" w:space="0"/>
            </w:tcBorders>
            <w:noWrap/>
            <w:vAlign w:val="center"/>
          </w:tcPr>
          <w:p w14:paraId="729FD1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0.96</w:t>
            </w:r>
          </w:p>
        </w:tc>
        <w:tc>
          <w:tcPr>
            <w:tcW w:w="825" w:type="pct"/>
            <w:tcBorders>
              <w:top w:val="single" w:color="000000" w:sz="4" w:space="0"/>
              <w:left w:val="nil"/>
              <w:bottom w:val="single" w:color="000000" w:sz="4" w:space="0"/>
              <w:right w:val="single" w:color="000000" w:sz="4" w:space="0"/>
            </w:tcBorders>
            <w:noWrap/>
            <w:vAlign w:val="center"/>
          </w:tcPr>
          <w:p w14:paraId="134526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AFE71E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080A7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7C99E8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45DB84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0.96</w:t>
            </w:r>
          </w:p>
        </w:tc>
        <w:tc>
          <w:tcPr>
            <w:tcW w:w="684" w:type="pct"/>
            <w:tcBorders>
              <w:top w:val="single" w:color="000000" w:sz="4" w:space="0"/>
              <w:left w:val="nil"/>
              <w:bottom w:val="single" w:color="000000" w:sz="4" w:space="0"/>
              <w:right w:val="single" w:color="000000" w:sz="4" w:space="0"/>
            </w:tcBorders>
            <w:noWrap/>
            <w:vAlign w:val="center"/>
          </w:tcPr>
          <w:p w14:paraId="35AB81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0.96</w:t>
            </w:r>
          </w:p>
        </w:tc>
        <w:tc>
          <w:tcPr>
            <w:tcW w:w="825" w:type="pct"/>
            <w:tcBorders>
              <w:top w:val="single" w:color="000000" w:sz="4" w:space="0"/>
              <w:left w:val="nil"/>
              <w:bottom w:val="single" w:color="000000" w:sz="4" w:space="0"/>
              <w:right w:val="single" w:color="000000" w:sz="4" w:space="0"/>
            </w:tcBorders>
            <w:noWrap/>
            <w:vAlign w:val="center"/>
          </w:tcPr>
          <w:p w14:paraId="7A39AA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CFC633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D9F00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329DDF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6172D6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51.76</w:t>
            </w:r>
          </w:p>
        </w:tc>
        <w:tc>
          <w:tcPr>
            <w:tcW w:w="684" w:type="pct"/>
            <w:tcBorders>
              <w:top w:val="single" w:color="000000" w:sz="4" w:space="0"/>
              <w:left w:val="nil"/>
              <w:bottom w:val="single" w:color="000000" w:sz="4" w:space="0"/>
              <w:right w:val="single" w:color="000000" w:sz="4" w:space="0"/>
            </w:tcBorders>
            <w:noWrap/>
            <w:vAlign w:val="center"/>
          </w:tcPr>
          <w:p w14:paraId="2EEEDC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51.76</w:t>
            </w:r>
          </w:p>
        </w:tc>
        <w:tc>
          <w:tcPr>
            <w:tcW w:w="825" w:type="pct"/>
            <w:tcBorders>
              <w:top w:val="single" w:color="000000" w:sz="4" w:space="0"/>
              <w:left w:val="nil"/>
              <w:bottom w:val="single" w:color="000000" w:sz="4" w:space="0"/>
              <w:right w:val="single" w:color="000000" w:sz="4" w:space="0"/>
            </w:tcBorders>
            <w:noWrap/>
            <w:vAlign w:val="center"/>
          </w:tcPr>
          <w:p w14:paraId="6872BA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AB8DD4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CDA2F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1DF627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1F0E25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51.76</w:t>
            </w:r>
          </w:p>
        </w:tc>
        <w:tc>
          <w:tcPr>
            <w:tcW w:w="684" w:type="pct"/>
            <w:tcBorders>
              <w:top w:val="single" w:color="000000" w:sz="4" w:space="0"/>
              <w:left w:val="nil"/>
              <w:bottom w:val="single" w:color="000000" w:sz="4" w:space="0"/>
              <w:right w:val="single" w:color="000000" w:sz="4" w:space="0"/>
            </w:tcBorders>
            <w:noWrap/>
            <w:vAlign w:val="center"/>
          </w:tcPr>
          <w:p w14:paraId="104E58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51.76</w:t>
            </w:r>
          </w:p>
        </w:tc>
        <w:tc>
          <w:tcPr>
            <w:tcW w:w="825" w:type="pct"/>
            <w:tcBorders>
              <w:top w:val="single" w:color="000000" w:sz="4" w:space="0"/>
              <w:left w:val="nil"/>
              <w:bottom w:val="single" w:color="000000" w:sz="4" w:space="0"/>
              <w:right w:val="single" w:color="000000" w:sz="4" w:space="0"/>
            </w:tcBorders>
            <w:noWrap/>
            <w:vAlign w:val="center"/>
          </w:tcPr>
          <w:p w14:paraId="0CC1B3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5C4579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87CDE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2101101</w:t>
            </w:r>
          </w:p>
        </w:tc>
        <w:tc>
          <w:tcPr>
            <w:tcW w:w="1579" w:type="pct"/>
            <w:tcBorders>
              <w:top w:val="single" w:color="000000" w:sz="4" w:space="0"/>
              <w:left w:val="nil"/>
              <w:bottom w:val="single" w:color="000000" w:sz="4" w:space="0"/>
              <w:right w:val="single" w:color="000000" w:sz="4" w:space="0"/>
            </w:tcBorders>
            <w:noWrap/>
            <w:vAlign w:val="center"/>
          </w:tcPr>
          <w:p w14:paraId="62F8D3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行政单位医疗</w:t>
            </w:r>
          </w:p>
        </w:tc>
        <w:tc>
          <w:tcPr>
            <w:tcW w:w="1056" w:type="pct"/>
            <w:tcBorders>
              <w:top w:val="single" w:color="000000" w:sz="4" w:space="0"/>
              <w:left w:val="nil"/>
              <w:bottom w:val="single" w:color="000000" w:sz="4" w:space="0"/>
              <w:right w:val="single" w:color="000000" w:sz="4" w:space="0"/>
            </w:tcBorders>
            <w:noWrap/>
            <w:vAlign w:val="center"/>
          </w:tcPr>
          <w:p w14:paraId="1DF659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17.94</w:t>
            </w:r>
          </w:p>
        </w:tc>
        <w:tc>
          <w:tcPr>
            <w:tcW w:w="684" w:type="pct"/>
            <w:tcBorders>
              <w:top w:val="single" w:color="000000" w:sz="4" w:space="0"/>
              <w:left w:val="nil"/>
              <w:bottom w:val="single" w:color="000000" w:sz="4" w:space="0"/>
              <w:right w:val="single" w:color="000000" w:sz="4" w:space="0"/>
            </w:tcBorders>
            <w:noWrap/>
            <w:vAlign w:val="center"/>
          </w:tcPr>
          <w:p w14:paraId="7A4BD7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17.94</w:t>
            </w:r>
          </w:p>
        </w:tc>
        <w:tc>
          <w:tcPr>
            <w:tcW w:w="825" w:type="pct"/>
            <w:tcBorders>
              <w:top w:val="single" w:color="000000" w:sz="4" w:space="0"/>
              <w:left w:val="nil"/>
              <w:bottom w:val="single" w:color="000000" w:sz="4" w:space="0"/>
              <w:right w:val="single" w:color="000000" w:sz="4" w:space="0"/>
            </w:tcBorders>
            <w:noWrap/>
            <w:vAlign w:val="center"/>
          </w:tcPr>
          <w:p w14:paraId="5B9333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8EC714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1A268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7EFC20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3A2E82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7.05</w:t>
            </w:r>
          </w:p>
        </w:tc>
        <w:tc>
          <w:tcPr>
            <w:tcW w:w="684" w:type="pct"/>
            <w:tcBorders>
              <w:top w:val="single" w:color="000000" w:sz="4" w:space="0"/>
              <w:left w:val="nil"/>
              <w:bottom w:val="single" w:color="000000" w:sz="4" w:space="0"/>
              <w:right w:val="single" w:color="000000" w:sz="4" w:space="0"/>
            </w:tcBorders>
            <w:noWrap/>
            <w:vAlign w:val="center"/>
          </w:tcPr>
          <w:p w14:paraId="05D75C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7.05</w:t>
            </w:r>
          </w:p>
        </w:tc>
        <w:tc>
          <w:tcPr>
            <w:tcW w:w="825" w:type="pct"/>
            <w:tcBorders>
              <w:top w:val="single" w:color="000000" w:sz="4" w:space="0"/>
              <w:left w:val="nil"/>
              <w:bottom w:val="single" w:color="000000" w:sz="4" w:space="0"/>
              <w:right w:val="single" w:color="000000" w:sz="4" w:space="0"/>
            </w:tcBorders>
            <w:noWrap/>
            <w:vAlign w:val="center"/>
          </w:tcPr>
          <w:p w14:paraId="6648D1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8DB1A8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8DD90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1C4530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64952E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26.77</w:t>
            </w:r>
          </w:p>
        </w:tc>
        <w:tc>
          <w:tcPr>
            <w:tcW w:w="684" w:type="pct"/>
            <w:tcBorders>
              <w:top w:val="single" w:color="000000" w:sz="4" w:space="0"/>
              <w:left w:val="nil"/>
              <w:bottom w:val="single" w:color="000000" w:sz="4" w:space="0"/>
              <w:right w:val="single" w:color="000000" w:sz="4" w:space="0"/>
            </w:tcBorders>
            <w:noWrap/>
            <w:vAlign w:val="center"/>
          </w:tcPr>
          <w:p w14:paraId="527E77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26.77</w:t>
            </w:r>
          </w:p>
        </w:tc>
        <w:tc>
          <w:tcPr>
            <w:tcW w:w="825" w:type="pct"/>
            <w:tcBorders>
              <w:top w:val="single" w:color="000000" w:sz="4" w:space="0"/>
              <w:left w:val="nil"/>
              <w:bottom w:val="single" w:color="000000" w:sz="4" w:space="0"/>
              <w:right w:val="single" w:color="000000" w:sz="4" w:space="0"/>
            </w:tcBorders>
            <w:noWrap/>
            <w:vAlign w:val="center"/>
          </w:tcPr>
          <w:p w14:paraId="4B40F3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71FB5C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3FBE5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7795B6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3A9406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51.45</w:t>
            </w:r>
          </w:p>
        </w:tc>
        <w:tc>
          <w:tcPr>
            <w:tcW w:w="684" w:type="pct"/>
            <w:tcBorders>
              <w:top w:val="single" w:color="000000" w:sz="4" w:space="0"/>
              <w:left w:val="nil"/>
              <w:bottom w:val="single" w:color="000000" w:sz="4" w:space="0"/>
              <w:right w:val="single" w:color="000000" w:sz="4" w:space="0"/>
            </w:tcBorders>
            <w:noWrap/>
            <w:vAlign w:val="center"/>
          </w:tcPr>
          <w:p w14:paraId="21DBFC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51.45</w:t>
            </w:r>
          </w:p>
        </w:tc>
        <w:tc>
          <w:tcPr>
            <w:tcW w:w="825" w:type="pct"/>
            <w:tcBorders>
              <w:top w:val="single" w:color="000000" w:sz="4" w:space="0"/>
              <w:left w:val="nil"/>
              <w:bottom w:val="single" w:color="000000" w:sz="4" w:space="0"/>
              <w:right w:val="single" w:color="000000" w:sz="4" w:space="0"/>
            </w:tcBorders>
            <w:noWrap/>
            <w:vAlign w:val="center"/>
          </w:tcPr>
          <w:p w14:paraId="13C763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E33839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9E81C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5E98B8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3DB372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51.45</w:t>
            </w:r>
          </w:p>
        </w:tc>
        <w:tc>
          <w:tcPr>
            <w:tcW w:w="684" w:type="pct"/>
            <w:tcBorders>
              <w:top w:val="single" w:color="000000" w:sz="4" w:space="0"/>
              <w:left w:val="nil"/>
              <w:bottom w:val="single" w:color="000000" w:sz="4" w:space="0"/>
              <w:right w:val="single" w:color="000000" w:sz="4" w:space="0"/>
            </w:tcBorders>
            <w:noWrap/>
            <w:vAlign w:val="center"/>
          </w:tcPr>
          <w:p w14:paraId="5D70BF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51.45</w:t>
            </w:r>
          </w:p>
        </w:tc>
        <w:tc>
          <w:tcPr>
            <w:tcW w:w="825" w:type="pct"/>
            <w:tcBorders>
              <w:top w:val="single" w:color="000000" w:sz="4" w:space="0"/>
              <w:left w:val="nil"/>
              <w:bottom w:val="single" w:color="000000" w:sz="4" w:space="0"/>
              <w:right w:val="single" w:color="000000" w:sz="4" w:space="0"/>
            </w:tcBorders>
            <w:noWrap/>
            <w:vAlign w:val="center"/>
          </w:tcPr>
          <w:p w14:paraId="792D0D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2C6FF1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5DFD0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09F460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5BD35E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51.45</w:t>
            </w:r>
          </w:p>
        </w:tc>
        <w:tc>
          <w:tcPr>
            <w:tcW w:w="684" w:type="pct"/>
            <w:tcBorders>
              <w:top w:val="single" w:color="000000" w:sz="4" w:space="0"/>
              <w:left w:val="nil"/>
              <w:bottom w:val="single" w:color="000000" w:sz="4" w:space="0"/>
              <w:right w:val="single" w:color="000000" w:sz="4" w:space="0"/>
            </w:tcBorders>
            <w:noWrap/>
            <w:vAlign w:val="center"/>
          </w:tcPr>
          <w:p w14:paraId="069850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51.45</w:t>
            </w:r>
          </w:p>
        </w:tc>
        <w:tc>
          <w:tcPr>
            <w:tcW w:w="825" w:type="pct"/>
            <w:tcBorders>
              <w:top w:val="single" w:color="000000" w:sz="4" w:space="0"/>
              <w:left w:val="nil"/>
              <w:bottom w:val="single" w:color="000000" w:sz="4" w:space="0"/>
              <w:right w:val="single" w:color="000000" w:sz="4" w:space="0"/>
            </w:tcBorders>
            <w:noWrap/>
            <w:vAlign w:val="center"/>
          </w:tcPr>
          <w:p w14:paraId="0709DC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28C5516F">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663EE07C">
        <w:tblPrEx>
          <w:tblCellMar>
            <w:top w:w="0" w:type="dxa"/>
            <w:left w:w="108" w:type="dxa"/>
            <w:bottom w:w="0" w:type="dxa"/>
            <w:right w:w="108" w:type="dxa"/>
          </w:tblCellMar>
        </w:tblPrEx>
        <w:trPr>
          <w:trHeight w:val="585" w:hRule="atLeast"/>
        </w:trPr>
        <w:tc>
          <w:tcPr>
            <w:tcW w:w="5000" w:type="pct"/>
            <w:gridSpan w:val="5"/>
            <w:noWrap/>
            <w:vAlign w:val="center"/>
          </w:tcPr>
          <w:p w14:paraId="3523A739">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5E94D212">
        <w:tblPrEx>
          <w:tblCellMar>
            <w:top w:w="0" w:type="dxa"/>
            <w:left w:w="108" w:type="dxa"/>
            <w:bottom w:w="0" w:type="dxa"/>
            <w:right w:w="108" w:type="dxa"/>
          </w:tblCellMar>
        </w:tblPrEx>
        <w:trPr>
          <w:trHeight w:val="420" w:hRule="atLeast"/>
        </w:trPr>
        <w:tc>
          <w:tcPr>
            <w:tcW w:w="2398" w:type="pct"/>
            <w:gridSpan w:val="2"/>
            <w:noWrap/>
            <w:vAlign w:val="center"/>
          </w:tcPr>
          <w:p w14:paraId="49342F0F">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填报单位:114中共赣州市委信访局</w:t>
            </w:r>
          </w:p>
        </w:tc>
        <w:tc>
          <w:tcPr>
            <w:tcW w:w="891" w:type="pct"/>
            <w:noWrap/>
            <w:vAlign w:val="bottom"/>
          </w:tcPr>
          <w:p w14:paraId="60E3FC36">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1BC3658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61950786">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14CB69E6">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19CBA9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04092B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01338C1A">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5C3F0B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3A8A5B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3D53C2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6769FA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5445D3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774FB3F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9D457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34424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C8382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D6A52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6BC62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1E9D9D0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7D06B0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AC3EA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35F0D3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738.71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261A2C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659.39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5A9852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79.33</w:t>
            </w:r>
          </w:p>
        </w:tc>
      </w:tr>
      <w:tr w14:paraId="43C81F8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B9A6B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4CDCA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7471F7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596.60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3633F2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596.60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298A81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31CE4FF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130EF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F0FA7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BBADED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151.10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4218B4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151.10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623157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6A4E3A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57130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D7C86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BC8785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59.86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C486D1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59.86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2B1135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91CE0A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83E34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CBA87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4F1953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136.94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7811E1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136.94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87E70C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203CE4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72592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C9F65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61D044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80.84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726B1D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80.84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5299C6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B00192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E0C93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2D565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760189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58.83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7F03E9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58.83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33F032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E5AB8C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39990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E3E8E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EA9F14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24.99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6BA9DE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24.99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1B1B47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D2D409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764AC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88A8C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BD8DCE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26.77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DE86FA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26.77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A10E68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CD7F03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0CA25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408CB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9DC934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0.96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05BFC8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0.96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686BF6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F03E00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3C746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D4DB3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1335EF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51.45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1A4A2C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51.45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B0DD06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F1A629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CEDC4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B6E18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606E7D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4.88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1E19E8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4.88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754AD5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4A429E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613A0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57FAE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30CC5F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79.33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09A5F7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83B69C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79.33</w:t>
            </w:r>
          </w:p>
        </w:tc>
      </w:tr>
      <w:tr w14:paraId="3B85B04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E3D61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87A83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60525D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0FA078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1DEE59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4.00</w:t>
            </w:r>
          </w:p>
        </w:tc>
      </w:tr>
      <w:tr w14:paraId="53A7B05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E7654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41C53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邮电费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4A90FE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0175B6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BBDED0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2.00</w:t>
            </w:r>
          </w:p>
        </w:tc>
      </w:tr>
      <w:tr w14:paraId="46291CC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5C3E0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B3EB7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取暖费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CB14FB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0.96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7CC773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F59FF0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0.96</w:t>
            </w:r>
          </w:p>
        </w:tc>
      </w:tr>
      <w:tr w14:paraId="577C71A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E3A74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49FFB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差旅费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E9D76E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11.15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ADD894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90D318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11.15</w:t>
            </w:r>
          </w:p>
        </w:tc>
      </w:tr>
      <w:tr w14:paraId="179D7D2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33131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E47E8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维修（护）费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B87FDB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0A622A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6085E7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1.20</w:t>
            </w:r>
          </w:p>
        </w:tc>
      </w:tr>
      <w:tr w14:paraId="04C19B4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8D3C0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30214</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A5434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租赁费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62C5E2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C3FB90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EB5562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0.34</w:t>
            </w:r>
          </w:p>
        </w:tc>
      </w:tr>
      <w:tr w14:paraId="48B832A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DC758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30215</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FDD2A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会议费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A34C72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875F44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278753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6.00</w:t>
            </w:r>
          </w:p>
        </w:tc>
      </w:tr>
      <w:tr w14:paraId="317E8D9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9E154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094D3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培训费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FF3AF1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8D3D1A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D3DD91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2.49</w:t>
            </w:r>
          </w:p>
        </w:tc>
      </w:tr>
      <w:tr w14:paraId="4B14039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C3BA5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81D33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公务接待费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14AA4C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2F10F1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10BAEC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2.00</w:t>
            </w:r>
          </w:p>
        </w:tc>
      </w:tr>
      <w:tr w14:paraId="1056D1A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9B862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30226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8BDBD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劳务费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F658A5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2CD1B6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35B2BE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0.40</w:t>
            </w:r>
          </w:p>
        </w:tc>
      </w:tr>
      <w:tr w14:paraId="5044A7A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F94D3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30228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F13C5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工会经费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F69E67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8C0BFA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4EC958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14.00</w:t>
            </w:r>
          </w:p>
        </w:tc>
      </w:tr>
      <w:tr w14:paraId="60F7555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AD52E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30239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2AB87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其他交通费用</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0F004B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24.07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CA794C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076441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24.07</w:t>
            </w:r>
          </w:p>
        </w:tc>
      </w:tr>
      <w:tr w14:paraId="1CEC494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892D4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3C02C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456B5D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10.71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5F8AF9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FDCBBB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10.71</w:t>
            </w:r>
          </w:p>
        </w:tc>
      </w:tr>
      <w:tr w14:paraId="1CE7891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0569C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6D0EF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A241E7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62.78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C922D1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62.78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45E07D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4A6C5AA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8454D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72996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C1EA87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54.21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AACD0C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54.21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F11E59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8E1096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FC360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30305</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32FF3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生活补助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A2AA7E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5F2586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C75474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6BCA42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EC62A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5541C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56D30A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0.72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D20864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0.72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4EB079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D92B3F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ACCBA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4CCEC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D4A861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6.56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055C5E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6.56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F7EB81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67B0EAD1">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22CEC9B4">
        <w:tblPrEx>
          <w:tblCellMar>
            <w:top w:w="0" w:type="dxa"/>
            <w:left w:w="108" w:type="dxa"/>
            <w:bottom w:w="0" w:type="dxa"/>
            <w:right w:w="108" w:type="dxa"/>
          </w:tblCellMar>
        </w:tblPrEx>
        <w:trPr>
          <w:trHeight w:val="450" w:hRule="atLeast"/>
          <w:tblHeader/>
        </w:trPr>
        <w:tc>
          <w:tcPr>
            <w:tcW w:w="636" w:type="pct"/>
            <w:noWrap/>
            <w:vAlign w:val="bottom"/>
          </w:tcPr>
          <w:p w14:paraId="5932B405">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1FA40927">
            <w:pPr>
              <w:widowControl/>
              <w:jc w:val="left"/>
              <w:rPr>
                <w:rFonts w:ascii="Times New Roman" w:hAnsi="Times New Roman" w:eastAsia="宋体"/>
                <w:kern w:val="0"/>
                <w:sz w:val="20"/>
                <w:szCs w:val="20"/>
              </w:rPr>
            </w:pPr>
          </w:p>
        </w:tc>
        <w:tc>
          <w:tcPr>
            <w:tcW w:w="684" w:type="pct"/>
            <w:noWrap/>
            <w:vAlign w:val="bottom"/>
          </w:tcPr>
          <w:p w14:paraId="762525C8">
            <w:pPr>
              <w:widowControl/>
              <w:jc w:val="left"/>
              <w:rPr>
                <w:rFonts w:ascii="Times New Roman" w:hAnsi="Times New Roman" w:eastAsia="宋体"/>
                <w:kern w:val="0"/>
                <w:sz w:val="20"/>
                <w:szCs w:val="20"/>
              </w:rPr>
            </w:pPr>
          </w:p>
        </w:tc>
        <w:tc>
          <w:tcPr>
            <w:tcW w:w="538" w:type="pct"/>
            <w:noWrap/>
            <w:vAlign w:val="bottom"/>
          </w:tcPr>
          <w:p w14:paraId="51FD5268">
            <w:pPr>
              <w:widowControl/>
              <w:jc w:val="left"/>
              <w:rPr>
                <w:rFonts w:ascii="Times New Roman" w:hAnsi="Times New Roman" w:eastAsia="宋体"/>
                <w:kern w:val="0"/>
                <w:sz w:val="20"/>
                <w:szCs w:val="20"/>
              </w:rPr>
            </w:pPr>
          </w:p>
        </w:tc>
        <w:tc>
          <w:tcPr>
            <w:tcW w:w="2836" w:type="pct"/>
            <w:gridSpan w:val="5"/>
            <w:noWrap/>
            <w:vAlign w:val="center"/>
          </w:tcPr>
          <w:p w14:paraId="17C1134A">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5B5A364B">
        <w:tblPrEx>
          <w:tblCellMar>
            <w:top w:w="0" w:type="dxa"/>
            <w:left w:w="108" w:type="dxa"/>
            <w:bottom w:w="0" w:type="dxa"/>
            <w:right w:w="108" w:type="dxa"/>
          </w:tblCellMar>
        </w:tblPrEx>
        <w:trPr>
          <w:trHeight w:val="485" w:hRule="atLeast"/>
          <w:tblHeader/>
        </w:trPr>
        <w:tc>
          <w:tcPr>
            <w:tcW w:w="5000" w:type="pct"/>
            <w:gridSpan w:val="9"/>
            <w:noWrap/>
            <w:vAlign w:val="center"/>
          </w:tcPr>
          <w:p w14:paraId="6B37E06D">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1CD59E6D">
        <w:tblPrEx>
          <w:tblCellMar>
            <w:top w:w="0" w:type="dxa"/>
            <w:left w:w="108" w:type="dxa"/>
            <w:bottom w:w="0" w:type="dxa"/>
            <w:right w:w="108" w:type="dxa"/>
          </w:tblCellMar>
        </w:tblPrEx>
        <w:trPr>
          <w:trHeight w:val="340" w:hRule="atLeast"/>
          <w:tblHeader/>
        </w:trPr>
        <w:tc>
          <w:tcPr>
            <w:tcW w:w="2163" w:type="pct"/>
            <w:gridSpan w:val="4"/>
            <w:noWrap/>
            <w:vAlign w:val="center"/>
          </w:tcPr>
          <w:p w14:paraId="2DFD7DF2">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填报单位:114中共赣州市委信访局</w:t>
            </w:r>
          </w:p>
        </w:tc>
        <w:tc>
          <w:tcPr>
            <w:tcW w:w="742" w:type="pct"/>
            <w:noWrap/>
            <w:vAlign w:val="bottom"/>
          </w:tcPr>
          <w:p w14:paraId="28388065">
            <w:pPr>
              <w:widowControl/>
              <w:jc w:val="left"/>
              <w:rPr>
                <w:rFonts w:ascii="Times New Roman" w:hAnsi="Times New Roman" w:eastAsia="宋体"/>
                <w:kern w:val="0"/>
                <w:sz w:val="20"/>
                <w:szCs w:val="20"/>
              </w:rPr>
            </w:pPr>
          </w:p>
        </w:tc>
        <w:tc>
          <w:tcPr>
            <w:tcW w:w="474" w:type="pct"/>
            <w:noWrap/>
            <w:vAlign w:val="bottom"/>
          </w:tcPr>
          <w:p w14:paraId="3429D6E9">
            <w:pPr>
              <w:widowControl/>
              <w:jc w:val="left"/>
              <w:rPr>
                <w:rFonts w:ascii="Times New Roman" w:hAnsi="Times New Roman" w:eastAsia="宋体"/>
                <w:kern w:val="0"/>
                <w:sz w:val="20"/>
                <w:szCs w:val="20"/>
              </w:rPr>
            </w:pPr>
          </w:p>
        </w:tc>
        <w:tc>
          <w:tcPr>
            <w:tcW w:w="596" w:type="pct"/>
            <w:noWrap/>
            <w:vAlign w:val="bottom"/>
          </w:tcPr>
          <w:p w14:paraId="477FF62C">
            <w:pPr>
              <w:widowControl/>
              <w:jc w:val="left"/>
              <w:rPr>
                <w:rFonts w:ascii="Times New Roman" w:hAnsi="Times New Roman" w:eastAsia="宋体"/>
                <w:kern w:val="0"/>
                <w:sz w:val="20"/>
                <w:szCs w:val="20"/>
              </w:rPr>
            </w:pPr>
          </w:p>
        </w:tc>
        <w:tc>
          <w:tcPr>
            <w:tcW w:w="1023" w:type="pct"/>
            <w:gridSpan w:val="2"/>
            <w:noWrap/>
            <w:vAlign w:val="bottom"/>
          </w:tcPr>
          <w:p w14:paraId="39BC0E1E">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08771A90">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258185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00FD0A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因公出国(境)费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59B6C7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7AF078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31F2B689">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7F3DC29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56A0A2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0AC350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6EB2B3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77F392B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7D5BB0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58E7D1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535014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03AECABE">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155C1DB4">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3C6B5A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22F9E3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0557B7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7D1934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2BF9E8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3AC2BB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15D1B5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253CA0FE">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202BD9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2.00</w:t>
            </w:r>
          </w:p>
        </w:tc>
        <w:tc>
          <w:tcPr>
            <w:tcW w:w="684" w:type="pct"/>
            <w:tcBorders>
              <w:top w:val="single" w:color="000000" w:sz="4" w:space="0"/>
              <w:left w:val="nil"/>
              <w:bottom w:val="single" w:color="000000" w:sz="4" w:space="0"/>
              <w:right w:val="single" w:color="000000" w:sz="4" w:space="0"/>
            </w:tcBorders>
            <w:vAlign w:val="center"/>
          </w:tcPr>
          <w:p w14:paraId="5CC139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5E6C95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2D2699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57CA10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2.00</w:t>
            </w:r>
          </w:p>
        </w:tc>
        <w:tc>
          <w:tcPr>
            <w:tcW w:w="596" w:type="pct"/>
            <w:tcBorders>
              <w:top w:val="single" w:color="000000" w:sz="4" w:space="0"/>
              <w:left w:val="single" w:color="000000" w:sz="4" w:space="0"/>
              <w:bottom w:val="single" w:color="000000" w:sz="4" w:space="0"/>
              <w:right w:val="nil"/>
            </w:tcBorders>
            <w:vAlign w:val="center"/>
          </w:tcPr>
          <w:p w14:paraId="4E4009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303554A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24F5409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0E808F29">
      <w:pPr>
        <w:widowControl/>
        <w:jc w:val="left"/>
        <w:rPr>
          <w:rStyle w:val="13"/>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3F317868">
        <w:tblPrEx>
          <w:tblCellMar>
            <w:top w:w="0" w:type="dxa"/>
            <w:left w:w="108" w:type="dxa"/>
            <w:bottom w:w="0" w:type="dxa"/>
            <w:right w:w="108" w:type="dxa"/>
          </w:tblCellMar>
        </w:tblPrEx>
        <w:trPr>
          <w:trHeight w:val="507" w:hRule="atLeast"/>
          <w:tblHeader/>
        </w:trPr>
        <w:tc>
          <w:tcPr>
            <w:tcW w:w="976" w:type="pct"/>
            <w:noWrap/>
            <w:vAlign w:val="bottom"/>
          </w:tcPr>
          <w:p w14:paraId="7AB954D9">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3FF695B7">
            <w:pPr>
              <w:widowControl/>
              <w:jc w:val="left"/>
              <w:rPr>
                <w:rFonts w:ascii="Times New Roman" w:hAnsi="Times New Roman" w:eastAsia="宋体"/>
                <w:kern w:val="0"/>
                <w:sz w:val="20"/>
                <w:szCs w:val="20"/>
              </w:rPr>
            </w:pPr>
          </w:p>
        </w:tc>
        <w:tc>
          <w:tcPr>
            <w:tcW w:w="2801" w:type="pct"/>
            <w:gridSpan w:val="3"/>
            <w:noWrap/>
            <w:vAlign w:val="center"/>
          </w:tcPr>
          <w:p w14:paraId="31D1D57C">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16EBB8FE">
        <w:tblPrEx>
          <w:tblCellMar>
            <w:top w:w="0" w:type="dxa"/>
            <w:left w:w="108" w:type="dxa"/>
            <w:bottom w:w="0" w:type="dxa"/>
            <w:right w:w="108" w:type="dxa"/>
          </w:tblCellMar>
        </w:tblPrEx>
        <w:trPr>
          <w:trHeight w:val="564" w:hRule="atLeast"/>
          <w:tblHeader/>
        </w:trPr>
        <w:tc>
          <w:tcPr>
            <w:tcW w:w="5000" w:type="pct"/>
            <w:gridSpan w:val="5"/>
            <w:noWrap/>
            <w:vAlign w:val="center"/>
          </w:tcPr>
          <w:p w14:paraId="4816D074">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084A6B73">
        <w:tblPrEx>
          <w:tblCellMar>
            <w:top w:w="0" w:type="dxa"/>
            <w:left w:w="108" w:type="dxa"/>
            <w:bottom w:w="0" w:type="dxa"/>
            <w:right w:w="108" w:type="dxa"/>
          </w:tblCellMar>
        </w:tblPrEx>
        <w:trPr>
          <w:trHeight w:val="405" w:hRule="atLeast"/>
          <w:tblHeader/>
        </w:trPr>
        <w:tc>
          <w:tcPr>
            <w:tcW w:w="2198" w:type="pct"/>
            <w:gridSpan w:val="2"/>
            <w:noWrap/>
            <w:vAlign w:val="center"/>
          </w:tcPr>
          <w:p w14:paraId="0EACE714">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填报单位:114中共赣州市委信访局</w:t>
            </w:r>
          </w:p>
        </w:tc>
        <w:tc>
          <w:tcPr>
            <w:tcW w:w="1099" w:type="pct"/>
            <w:noWrap/>
            <w:vAlign w:val="bottom"/>
          </w:tcPr>
          <w:p w14:paraId="371FDB24">
            <w:pPr>
              <w:rPr>
                <w:rFonts w:hint="eastAsia" w:ascii="宋体" w:hAnsi="宋体" w:eastAsia="宋体" w:cs="Arial"/>
                <w:color w:val="000000"/>
                <w:kern w:val="0"/>
                <w:sz w:val="24"/>
                <w:szCs w:val="24"/>
              </w:rPr>
            </w:pPr>
          </w:p>
        </w:tc>
        <w:tc>
          <w:tcPr>
            <w:tcW w:w="766" w:type="pct"/>
            <w:noWrap/>
            <w:vAlign w:val="bottom"/>
          </w:tcPr>
          <w:p w14:paraId="26BA38B8">
            <w:pPr>
              <w:widowControl/>
              <w:jc w:val="left"/>
              <w:rPr>
                <w:rFonts w:ascii="Times New Roman" w:hAnsi="Times New Roman" w:eastAsia="宋体"/>
                <w:kern w:val="0"/>
                <w:sz w:val="20"/>
                <w:szCs w:val="20"/>
              </w:rPr>
            </w:pPr>
          </w:p>
        </w:tc>
        <w:tc>
          <w:tcPr>
            <w:tcW w:w="935" w:type="pct"/>
            <w:noWrap/>
            <w:vAlign w:val="center"/>
          </w:tcPr>
          <w:p w14:paraId="72991986">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F731119">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07EAC9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22D557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7C7608EC">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4306B8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031F4D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4AAB44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714777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3DFFE4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929BB72">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5ED841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7C8278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3D482B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25A8742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02E43B7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186980DA">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1D4CBC6E">
        <w:tblPrEx>
          <w:tblCellMar>
            <w:top w:w="0" w:type="dxa"/>
            <w:left w:w="108" w:type="dxa"/>
            <w:bottom w:w="0" w:type="dxa"/>
            <w:right w:w="108" w:type="dxa"/>
          </w:tblCellMar>
        </w:tblPrEx>
        <w:trPr>
          <w:trHeight w:val="619" w:hRule="atLeast"/>
          <w:tblHeader/>
        </w:trPr>
        <w:tc>
          <w:tcPr>
            <w:tcW w:w="960" w:type="pct"/>
            <w:noWrap/>
            <w:vAlign w:val="bottom"/>
          </w:tcPr>
          <w:p w14:paraId="1D799641">
            <w:pPr>
              <w:rPr>
                <w:rStyle w:val="13"/>
                <w:rFonts w:hint="eastAsia" w:ascii="仿宋" w:hAnsi="仿宋" w:eastAsia="仿宋"/>
                <w:bCs/>
                <w:sz w:val="32"/>
                <w:szCs w:val="32"/>
              </w:rPr>
            </w:pPr>
          </w:p>
        </w:tc>
        <w:tc>
          <w:tcPr>
            <w:tcW w:w="1233" w:type="pct"/>
            <w:noWrap/>
            <w:vAlign w:val="bottom"/>
          </w:tcPr>
          <w:p w14:paraId="696AC8A7">
            <w:pPr>
              <w:widowControl/>
              <w:jc w:val="left"/>
              <w:rPr>
                <w:rFonts w:ascii="Times New Roman" w:hAnsi="Times New Roman" w:eastAsia="宋体"/>
                <w:kern w:val="0"/>
                <w:sz w:val="20"/>
                <w:szCs w:val="20"/>
              </w:rPr>
            </w:pPr>
          </w:p>
        </w:tc>
        <w:tc>
          <w:tcPr>
            <w:tcW w:w="2805" w:type="pct"/>
            <w:gridSpan w:val="3"/>
            <w:noWrap/>
            <w:vAlign w:val="center"/>
          </w:tcPr>
          <w:p w14:paraId="78C4B37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3C1BD24E">
        <w:tblPrEx>
          <w:tblCellMar>
            <w:top w:w="0" w:type="dxa"/>
            <w:left w:w="108" w:type="dxa"/>
            <w:bottom w:w="0" w:type="dxa"/>
            <w:right w:w="108" w:type="dxa"/>
          </w:tblCellMar>
        </w:tblPrEx>
        <w:trPr>
          <w:trHeight w:val="613" w:hRule="atLeast"/>
          <w:tblHeader/>
        </w:trPr>
        <w:tc>
          <w:tcPr>
            <w:tcW w:w="5000" w:type="pct"/>
            <w:gridSpan w:val="5"/>
            <w:noWrap/>
            <w:vAlign w:val="center"/>
          </w:tcPr>
          <w:p w14:paraId="5F984C67">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23910C50">
        <w:tblPrEx>
          <w:tblCellMar>
            <w:top w:w="0" w:type="dxa"/>
            <w:left w:w="108" w:type="dxa"/>
            <w:bottom w:w="0" w:type="dxa"/>
            <w:right w:w="108" w:type="dxa"/>
          </w:tblCellMar>
        </w:tblPrEx>
        <w:trPr>
          <w:trHeight w:val="413" w:hRule="atLeast"/>
          <w:tblHeader/>
        </w:trPr>
        <w:tc>
          <w:tcPr>
            <w:tcW w:w="3282" w:type="pct"/>
            <w:gridSpan w:val="3"/>
            <w:noWrap/>
            <w:vAlign w:val="center"/>
          </w:tcPr>
          <w:p w14:paraId="173DC82C">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填报单位:114中共赣州市委信访局</w:t>
            </w:r>
          </w:p>
        </w:tc>
        <w:tc>
          <w:tcPr>
            <w:tcW w:w="762" w:type="pct"/>
            <w:noWrap/>
            <w:vAlign w:val="bottom"/>
          </w:tcPr>
          <w:p w14:paraId="0E74ACC0">
            <w:pPr>
              <w:widowControl/>
              <w:jc w:val="left"/>
              <w:rPr>
                <w:rFonts w:ascii="Times New Roman" w:hAnsi="Times New Roman" w:eastAsia="宋体"/>
                <w:kern w:val="0"/>
                <w:sz w:val="20"/>
                <w:szCs w:val="20"/>
              </w:rPr>
            </w:pPr>
          </w:p>
        </w:tc>
        <w:tc>
          <w:tcPr>
            <w:tcW w:w="954" w:type="pct"/>
            <w:noWrap/>
            <w:vAlign w:val="center"/>
          </w:tcPr>
          <w:p w14:paraId="5440C5D6">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248B128C">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15775F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1D9815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5E12EF8">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1F7F61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74BA30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5601AB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0C085F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63DA3C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F970E6E">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0D20E0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54445E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70E865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438D028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2DD175C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7D10E757">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10825" w:type="dxa"/>
        <w:tblInd w:w="-7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12"/>
        <w:gridCol w:w="1313"/>
        <w:gridCol w:w="2825"/>
        <w:gridCol w:w="1500"/>
        <w:gridCol w:w="912"/>
        <w:gridCol w:w="338"/>
        <w:gridCol w:w="1412"/>
        <w:gridCol w:w="1013"/>
      </w:tblGrid>
      <w:tr w14:paraId="29F49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exact"/>
        </w:trPr>
        <w:tc>
          <w:tcPr>
            <w:tcW w:w="10825" w:type="dxa"/>
            <w:gridSpan w:val="8"/>
            <w:tcBorders>
              <w:top w:val="nil"/>
              <w:left w:val="nil"/>
              <w:bottom w:val="single" w:color="000000" w:sz="4" w:space="0"/>
              <w:right w:val="nil"/>
            </w:tcBorders>
            <w:shd w:val="clear" w:color="auto" w:fill="FFFFFF"/>
            <w:noWrap/>
            <w:vAlign w:val="center"/>
          </w:tcPr>
          <w:p w14:paraId="1EFF0BE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val="0"/>
                <w:bCs/>
                <w:i w:val="0"/>
                <w:iCs w:val="0"/>
                <w:color w:val="000000"/>
                <w:kern w:val="0"/>
                <w:sz w:val="24"/>
                <w:szCs w:val="24"/>
                <w:u w:val="none"/>
                <w:lang w:val="en-US" w:eastAsia="zh-CN" w:bidi="ar"/>
              </w:rPr>
            </w:pPr>
            <w:r>
              <w:rPr>
                <w:rFonts w:hint="eastAsia" w:asciiTheme="minorEastAsia" w:hAnsiTheme="minorEastAsia" w:eastAsiaTheme="minorEastAsia" w:cstheme="minorEastAsia"/>
                <w:b/>
                <w:bCs w:val="0"/>
                <w:i w:val="0"/>
                <w:iCs w:val="0"/>
                <w:color w:val="000000"/>
                <w:kern w:val="0"/>
                <w:sz w:val="24"/>
                <w:szCs w:val="24"/>
                <w:u w:val="none"/>
                <w:lang w:val="en-US" w:eastAsia="zh-CN" w:bidi="ar"/>
              </w:rPr>
              <w:t>部门整体绩效目标</w:t>
            </w:r>
          </w:p>
        </w:tc>
      </w:tr>
      <w:tr w14:paraId="643B6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exact"/>
        </w:trPr>
        <w:tc>
          <w:tcPr>
            <w:tcW w:w="2825"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399859E6">
            <w:pPr>
              <w:keepNext w:val="0"/>
              <w:keepLines w:val="0"/>
              <w:widowControl/>
              <w:suppressLineNumbers w:val="0"/>
              <w:spacing w:line="240" w:lineRule="auto"/>
              <w:jc w:val="center"/>
              <w:textAlignment w:val="center"/>
              <w:rPr>
                <w:rFonts w:hint="default"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cstheme="minorEastAsia"/>
                <w:b/>
                <w:bCs w:val="0"/>
                <w:i w:val="0"/>
                <w:iCs w:val="0"/>
                <w:color w:val="000000"/>
                <w:kern w:val="0"/>
                <w:sz w:val="18"/>
                <w:szCs w:val="18"/>
                <w:u w:val="none"/>
                <w:lang w:val="en-US" w:eastAsia="zh-CN" w:bidi="ar"/>
              </w:rPr>
              <w:t>部门编码</w:t>
            </w:r>
          </w:p>
        </w:tc>
        <w:tc>
          <w:tcPr>
            <w:tcW w:w="28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6A89C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eastAsiaTheme="minorEastAsia" w:cstheme="minorEastAsia"/>
                <w:b w:val="0"/>
                <w:bCs/>
                <w:i w:val="0"/>
                <w:iCs w:val="0"/>
                <w:color w:val="000000"/>
                <w:kern w:val="0"/>
                <w:sz w:val="18"/>
                <w:szCs w:val="18"/>
                <w:u w:val="none"/>
                <w:lang w:val="en-US" w:eastAsia="zh-CN" w:bidi="ar"/>
              </w:rPr>
              <w:t>114</w:t>
            </w:r>
          </w:p>
        </w:tc>
        <w:tc>
          <w:tcPr>
            <w:tcW w:w="2412"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70FF344E">
            <w:pPr>
              <w:keepNext w:val="0"/>
              <w:keepLines w:val="0"/>
              <w:widowControl/>
              <w:suppressLineNumbers w:val="0"/>
              <w:spacing w:line="240" w:lineRule="auto"/>
              <w:jc w:val="center"/>
              <w:textAlignment w:val="center"/>
              <w:rPr>
                <w:rFonts w:hint="default"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cstheme="minorEastAsia"/>
                <w:b/>
                <w:bCs w:val="0"/>
                <w:i w:val="0"/>
                <w:iCs w:val="0"/>
                <w:color w:val="000000"/>
                <w:kern w:val="0"/>
                <w:sz w:val="18"/>
                <w:szCs w:val="18"/>
                <w:u w:val="none"/>
                <w:lang w:val="en-US" w:eastAsia="zh-CN" w:bidi="ar"/>
              </w:rPr>
              <w:t>部门名称</w:t>
            </w:r>
          </w:p>
        </w:tc>
        <w:tc>
          <w:tcPr>
            <w:tcW w:w="2763"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4136F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eastAsiaTheme="minorEastAsia" w:cstheme="minorEastAsia"/>
                <w:b w:val="0"/>
                <w:bCs/>
                <w:i w:val="0"/>
                <w:iCs w:val="0"/>
                <w:color w:val="000000"/>
                <w:kern w:val="0"/>
                <w:sz w:val="18"/>
                <w:szCs w:val="18"/>
                <w:u w:val="none"/>
                <w:lang w:val="en-US" w:eastAsia="zh-CN" w:bidi="ar"/>
              </w:rPr>
              <w:t>中共赣州市委信访局</w:t>
            </w:r>
          </w:p>
        </w:tc>
      </w:tr>
      <w:tr w14:paraId="1F5DF8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exac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66E53F6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Style w:val="16"/>
                <w:rFonts w:hint="eastAsia" w:asciiTheme="minorEastAsia" w:hAnsiTheme="minorEastAsia" w:eastAsiaTheme="minorEastAsia" w:cstheme="minorEastAsia"/>
                <w:b/>
                <w:bCs/>
                <w:color w:val="000000"/>
                <w:sz w:val="18"/>
                <w:szCs w:val="18"/>
                <w:lang w:val="en-US" w:eastAsia="zh-CN" w:bidi="ar"/>
              </w:rPr>
              <w:t>年度绩效总目标</w:t>
            </w:r>
          </w:p>
        </w:tc>
        <w:tc>
          <w:tcPr>
            <w:tcW w:w="9313" w:type="dxa"/>
            <w:gridSpan w:val="7"/>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03870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保障赣州信访网上服务中心系统平稳、有序运行，我市信访信息化建设有序推进；为锻炼的信访督查专员提供办公经费、差旅等经费，保障信访督查专员正常履职，有必要的经费开展学习、工作、锻炼；按上级要求组织开展驻京信访工作和重点时期、各级各类重要会议及活动的信访保障工作有序开展、高效进行；扎实开展“访调对接”工作，加大重点信访问题督查督办力度，积极融入粤港澳大湾区建设。保障驻京工作开展。</w:t>
            </w:r>
          </w:p>
        </w:tc>
      </w:tr>
      <w:tr w14:paraId="35250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0D067223">
            <w:pPr>
              <w:jc w:val="center"/>
              <w:rPr>
                <w:rFonts w:hint="eastAsia" w:asciiTheme="minorEastAsia" w:hAnsiTheme="minorEastAsia" w:eastAsiaTheme="minorEastAsia" w:cstheme="minorEastAsia"/>
                <w:b w:val="0"/>
                <w:i w:val="0"/>
                <w:iCs w:val="0"/>
                <w:color w:val="000000"/>
                <w:sz w:val="18"/>
                <w:szCs w:val="18"/>
                <w:u w:val="none"/>
              </w:rPr>
            </w:pPr>
          </w:p>
        </w:tc>
        <w:tc>
          <w:tcPr>
            <w:tcW w:w="9313"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898C4F">
            <w:pPr>
              <w:jc w:val="center"/>
              <w:rPr>
                <w:rFonts w:hint="eastAsia" w:asciiTheme="minorEastAsia" w:hAnsiTheme="minorEastAsia" w:eastAsiaTheme="minorEastAsia" w:cstheme="minorEastAsia"/>
                <w:b w:val="0"/>
                <w:i w:val="0"/>
                <w:iCs w:val="0"/>
                <w:color w:val="000000"/>
                <w:sz w:val="18"/>
                <w:szCs w:val="18"/>
                <w:u w:val="none"/>
              </w:rPr>
            </w:pPr>
          </w:p>
        </w:tc>
      </w:tr>
      <w:tr w14:paraId="09E33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4A5A3274">
            <w:pPr>
              <w:jc w:val="center"/>
              <w:rPr>
                <w:rFonts w:hint="eastAsia" w:asciiTheme="minorEastAsia" w:hAnsiTheme="minorEastAsia" w:eastAsiaTheme="minorEastAsia" w:cstheme="minorEastAsia"/>
                <w:b w:val="0"/>
                <w:i w:val="0"/>
                <w:iCs w:val="0"/>
                <w:color w:val="000000"/>
                <w:sz w:val="18"/>
                <w:szCs w:val="18"/>
                <w:u w:val="none"/>
              </w:rPr>
            </w:pPr>
          </w:p>
        </w:tc>
        <w:tc>
          <w:tcPr>
            <w:tcW w:w="9313"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D183E9">
            <w:pPr>
              <w:jc w:val="center"/>
              <w:rPr>
                <w:rFonts w:hint="eastAsia" w:asciiTheme="minorEastAsia" w:hAnsiTheme="minorEastAsia" w:eastAsiaTheme="minorEastAsia" w:cstheme="minorEastAsia"/>
                <w:b w:val="0"/>
                <w:i w:val="0"/>
                <w:iCs w:val="0"/>
                <w:color w:val="000000"/>
                <w:sz w:val="18"/>
                <w:szCs w:val="18"/>
                <w:u w:val="none"/>
              </w:rPr>
            </w:pPr>
          </w:p>
        </w:tc>
      </w:tr>
      <w:tr w14:paraId="3E2E5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5183DE77">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一级指标</w:t>
            </w:r>
          </w:p>
        </w:tc>
        <w:tc>
          <w:tcPr>
            <w:tcW w:w="1313"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15CAEB6B">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二级指标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3A473D17">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三级指标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3D0B5C0B">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计算符号</w:t>
            </w:r>
          </w:p>
        </w:tc>
        <w:tc>
          <w:tcPr>
            <w:tcW w:w="1412"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5DF5D3D9">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目标值</w:t>
            </w:r>
          </w:p>
        </w:tc>
        <w:tc>
          <w:tcPr>
            <w:tcW w:w="1013"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2190BDF0">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度量单位</w:t>
            </w:r>
          </w:p>
        </w:tc>
      </w:tr>
      <w:tr w14:paraId="74E4C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CAB15C">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FF834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数量指标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70C31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信访督查专项接到的任务数</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E006F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29C3B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30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FEF63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件</w:t>
            </w:r>
          </w:p>
        </w:tc>
      </w:tr>
      <w:tr w14:paraId="4E4DC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28A425">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E0C5A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数量指标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34D78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系统维护、业务和工作推进覆盖</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F5AA5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69240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C81F4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0BC22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14D983">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F48F9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数量指标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F2FF6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年底内完成的工作量和组织交办的任务数</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22BC2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23D2C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622BB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5EAB2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416E77">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60753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质量指标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5B8D0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按工作要求完成任务，确保系统维护、业务指导和工作推进实时、到位</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744D8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3F216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FA822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55C21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697EE5">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F28DD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时效指标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29AC4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各项费用支付到位，按时完成任务</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76F51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D66FF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77DC0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24C25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7B5CA2">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BEFE9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ED3B0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三公经费控制率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EA96A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608CE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7339F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52ED0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66C006">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72F9A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7708E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预算支出标准执行率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C474A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9CD88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A8576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7630F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7EEC59">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效益指标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8E384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社会效益指标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659E1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维护信访秩序稳定，推动重点信访问题处理化解，确保信访系统安全畅通，网上信访工作有序高效</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9D639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A2D23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80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8FA80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6FD4B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C72045">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满意度指标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466A5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服务对象满意度指标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E6E34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信访群众和相关部门对信访部门的工作满意度</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58B40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5CEF3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80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ECFFE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bl>
    <w:p w14:paraId="4429021B">
      <w:pPr>
        <w:rPr>
          <w:rFonts w:hint="eastAsia"/>
          <w:lang w:eastAsia="zh-CN"/>
        </w:rPr>
      </w:pPr>
    </w:p>
    <w:p w14:paraId="02E10048">
      <w:pPr>
        <w:pStyle w:val="2"/>
        <w:ind w:left="0" w:leftChars="0" w:firstLine="0" w:firstLineChars="0"/>
        <w:rPr>
          <w:rFonts w:hint="eastAsia"/>
          <w:lang w:eastAsia="zh-CN"/>
        </w:rPr>
      </w:pPr>
    </w:p>
    <w:p w14:paraId="4D626D3F">
      <w:pPr>
        <w:pStyle w:val="2"/>
        <w:ind w:left="0" w:leftChars="0" w:firstLine="0" w:firstLineChars="0"/>
        <w:rPr>
          <w:rFonts w:hint="eastAsia"/>
          <w:lang w:eastAsia="zh-CN"/>
        </w:rPr>
        <w:sectPr>
          <w:pgSz w:w="11906" w:h="16838"/>
          <w:pgMar w:top="720" w:right="720" w:bottom="720" w:left="720" w:header="851" w:footer="992" w:gutter="0"/>
          <w:cols w:space="425" w:num="1"/>
          <w:docGrid w:type="lines" w:linePitch="312" w:charSpace="0"/>
        </w:sectPr>
      </w:pPr>
      <w:r>
        <w:drawing>
          <wp:inline distT="0" distB="0" distL="114300" distR="114300">
            <wp:extent cx="6642100" cy="3986530"/>
            <wp:effectExtent l="0" t="0" r="6350" b="139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6642100" cy="3986530"/>
                    </a:xfrm>
                    <a:prstGeom prst="rect">
                      <a:avLst/>
                    </a:prstGeom>
                    <a:noFill/>
                    <a:ln>
                      <a:noFill/>
                    </a:ln>
                  </pic:spPr>
                </pic:pic>
              </a:graphicData>
            </a:graphic>
          </wp:inline>
        </w:drawing>
      </w:r>
    </w:p>
    <w:p w14:paraId="0D182918">
      <w:pPr>
        <w:pStyle w:val="18"/>
        <w:numPr>
          <w:ilvl w:val="0"/>
          <w:numId w:val="0"/>
        </w:numPr>
        <w:bidi w:val="0"/>
        <w:ind w:left="420" w:leftChars="200"/>
        <w:jc w:val="center"/>
        <w:rPr>
          <w:rFonts w:hint="eastAsia"/>
          <w:lang w:eastAsia="zh-CN"/>
        </w:rPr>
      </w:pPr>
      <w:r>
        <w:rPr>
          <w:rFonts w:hint="eastAsia"/>
          <w:lang w:val="en-US" w:eastAsia="zh-CN"/>
        </w:rPr>
        <w:t>第三部分  中共赣州市委信访局2026年部门预算情况说明</w:t>
      </w:r>
    </w:p>
    <w:p w14:paraId="696C9525">
      <w:pPr>
        <w:widowControl/>
        <w:spacing w:line="580" w:lineRule="exact"/>
        <w:jc w:val="center"/>
        <w:rPr>
          <w:rFonts w:ascii="仿宋_GB2312" w:eastAsia="仿宋_GB2312"/>
          <w:b/>
          <w:sz w:val="32"/>
          <w:szCs w:val="30"/>
        </w:rPr>
      </w:pPr>
    </w:p>
    <w:p w14:paraId="6C7822F0">
      <w:pPr>
        <w:pStyle w:val="18"/>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年部门预算收支情况说明</w:t>
      </w:r>
    </w:p>
    <w:p w14:paraId="658A635D">
      <w:pPr>
        <w:pStyle w:val="20"/>
        <w:numPr>
          <w:ilvl w:val="0"/>
          <w:numId w:val="0"/>
        </w:numPr>
        <w:bidi w:val="0"/>
        <w:ind w:left="420" w:leftChars="200"/>
        <w:rPr>
          <w:rFonts w:hint="eastAsia"/>
        </w:rPr>
      </w:pPr>
      <w:r>
        <w:rPr>
          <w:rFonts w:hint="eastAsia"/>
        </w:rPr>
        <w:t xml:space="preserve"> (一)收入预算情况</w:t>
      </w:r>
    </w:p>
    <w:p w14:paraId="1D1110A2">
      <w:pPr>
        <w:pStyle w:val="19"/>
        <w:bidi w:val="0"/>
        <w:rPr>
          <w:rFonts w:hint="eastAsia"/>
        </w:rPr>
      </w:pPr>
      <w:r>
        <w:rPr>
          <w:rFonts w:hint="eastAsia"/>
          <w:lang w:eastAsia="zh-CN"/>
        </w:rPr>
        <w:t>2026</w:t>
      </w:r>
      <w:r>
        <w:rPr>
          <w:rFonts w:hint="eastAsia"/>
        </w:rPr>
        <w:t>年</w:t>
      </w:r>
      <w:r>
        <w:rPr>
          <w:rFonts w:hint="eastAsia"/>
          <w:lang w:eastAsia="zh-CN"/>
        </w:rPr>
        <w:t>中共赣州市委信访局</w:t>
      </w:r>
      <w:r>
        <w:rPr>
          <w:rFonts w:hint="eastAsia"/>
        </w:rPr>
        <w:t>收入预算总额为1097.94万元</w:t>
      </w:r>
      <w:r>
        <w:rPr>
          <w:rFonts w:hint="eastAsia"/>
          <w:lang w:eastAsia="zh-CN"/>
        </w:rPr>
        <w:t>，</w:t>
      </w:r>
      <w:r>
        <w:rPr>
          <w:rFonts w:hint="eastAsia"/>
        </w:rPr>
        <w:t>较上年预算安排增加</w:t>
      </w:r>
      <w:r>
        <w:rPr>
          <w:rFonts w:hint="eastAsia"/>
          <w:lang w:val="en-US" w:eastAsia="zh-CN"/>
        </w:rPr>
        <w:t>272.72</w:t>
      </w:r>
      <w:r>
        <w:rPr>
          <w:rFonts w:hint="eastAsia"/>
        </w:rPr>
        <w:t>万元</w:t>
      </w:r>
      <w:r>
        <w:rPr>
          <w:rFonts w:hint="eastAsia"/>
          <w:color w:val="auto"/>
          <w:lang w:eastAsia="zh-CN"/>
        </w:rPr>
        <w:t>；本年收入合计1060.11万元，较上年预算安排增加</w:t>
      </w:r>
      <w:r>
        <w:rPr>
          <w:rFonts w:hint="eastAsia"/>
          <w:color w:val="auto"/>
          <w:lang w:val="en-US" w:eastAsia="zh-CN"/>
        </w:rPr>
        <w:t>234.89</w:t>
      </w:r>
      <w:r>
        <w:rPr>
          <w:rFonts w:hint="eastAsia"/>
          <w:color w:val="auto"/>
          <w:lang w:eastAsia="zh-CN"/>
        </w:rPr>
        <w:t>万元；包</w:t>
      </w:r>
      <w:r>
        <w:rPr>
          <w:rFonts w:hint="eastAsia"/>
          <w:lang w:eastAsia="zh-CN"/>
        </w:rPr>
        <w:t>括：财政拨款收入1049.71万元，较上年预算安排增加</w:t>
      </w:r>
      <w:r>
        <w:rPr>
          <w:rFonts w:hint="eastAsia"/>
          <w:lang w:val="en-US" w:eastAsia="zh-CN"/>
        </w:rPr>
        <w:t>234.94</w:t>
      </w:r>
      <w:r>
        <w:rPr>
          <w:rFonts w:hint="eastAsia"/>
          <w:lang w:eastAsia="zh-CN"/>
        </w:rPr>
        <w:t>万元；其他收入10.40万元，较上年预算安排减少</w:t>
      </w:r>
      <w:r>
        <w:rPr>
          <w:rFonts w:hint="eastAsia"/>
          <w:lang w:val="en-US" w:eastAsia="zh-CN"/>
        </w:rPr>
        <w:t>0.05</w:t>
      </w:r>
      <w:r>
        <w:rPr>
          <w:rFonts w:hint="eastAsia"/>
          <w:lang w:eastAsia="zh-CN"/>
        </w:rPr>
        <w:t>万元。上年结转37.83万元，较上年预算安排增加</w:t>
      </w:r>
      <w:r>
        <w:rPr>
          <w:rFonts w:hint="eastAsia"/>
          <w:lang w:val="en-US" w:eastAsia="zh-CN"/>
        </w:rPr>
        <w:t>37.83</w:t>
      </w:r>
      <w:r>
        <w:rPr>
          <w:rFonts w:hint="eastAsia"/>
          <w:lang w:eastAsia="zh-CN"/>
        </w:rPr>
        <w:t>万元。</w:t>
      </w:r>
    </w:p>
    <w:p w14:paraId="7B9D34E5">
      <w:pPr>
        <w:pStyle w:val="20"/>
        <w:numPr>
          <w:ilvl w:val="0"/>
          <w:numId w:val="0"/>
        </w:numPr>
        <w:bidi w:val="0"/>
        <w:ind w:left="420" w:leftChars="200"/>
        <w:rPr>
          <w:rFonts w:hint="eastAsia"/>
        </w:rPr>
      </w:pPr>
      <w:r>
        <w:rPr>
          <w:rFonts w:hint="eastAsia"/>
        </w:rPr>
        <w:t xml:space="preserve"> </w:t>
      </w:r>
      <w:r>
        <w:rPr>
          <w:rFonts w:hint="eastAsia"/>
          <w:lang w:val="en-US" w:eastAsia="zh-CN"/>
        </w:rPr>
        <w:t>(二)支出预算情况</w:t>
      </w:r>
    </w:p>
    <w:p w14:paraId="332607B0">
      <w:pPr>
        <w:pStyle w:val="19"/>
        <w:bidi w:val="0"/>
        <w:rPr>
          <w:rFonts w:hint="eastAsia"/>
        </w:rPr>
      </w:pPr>
      <w:r>
        <w:rPr>
          <w:rFonts w:hint="eastAsia"/>
          <w:lang w:eastAsia="zh-CN"/>
        </w:rPr>
        <w:t>2026</w:t>
      </w:r>
      <w:r>
        <w:rPr>
          <w:rFonts w:hint="eastAsia"/>
        </w:rPr>
        <w:t>年</w:t>
      </w:r>
      <w:r>
        <w:rPr>
          <w:rFonts w:hint="eastAsia"/>
          <w:lang w:eastAsia="zh-CN"/>
        </w:rPr>
        <w:t>中共赣州市委信访局</w:t>
      </w:r>
      <w:r>
        <w:rPr>
          <w:rFonts w:hint="eastAsia"/>
        </w:rPr>
        <w:t>支出预算总额为1097.94万元</w:t>
      </w:r>
      <w:r>
        <w:rPr>
          <w:rFonts w:hint="eastAsia"/>
          <w:lang w:eastAsia="zh-CN"/>
        </w:rPr>
        <w:t>，</w:t>
      </w:r>
      <w:r>
        <w:rPr>
          <w:rFonts w:hint="eastAsia"/>
        </w:rPr>
        <w:t>较上年预算安排增加</w:t>
      </w:r>
      <w:r>
        <w:rPr>
          <w:rFonts w:hint="eastAsia"/>
          <w:lang w:val="en-US" w:eastAsia="zh-CN"/>
        </w:rPr>
        <w:t>272.72</w:t>
      </w:r>
      <w:r>
        <w:rPr>
          <w:rFonts w:hint="eastAsia"/>
        </w:rPr>
        <w:t xml:space="preserve">万元。 </w:t>
      </w:r>
    </w:p>
    <w:p w14:paraId="207934D6">
      <w:pPr>
        <w:pStyle w:val="19"/>
        <w:bidi w:val="0"/>
        <w:rPr>
          <w:rFonts w:hint="eastAsia"/>
        </w:rPr>
      </w:pPr>
      <w:r>
        <w:rPr>
          <w:rFonts w:hint="eastAsia"/>
        </w:rPr>
        <w:t>按支出项目类别划分：基本支出738.71万元</w:t>
      </w:r>
      <w:r>
        <w:rPr>
          <w:rFonts w:hint="eastAsia"/>
          <w:lang w:eastAsia="zh-CN"/>
        </w:rPr>
        <w:t>，</w:t>
      </w:r>
      <w:r>
        <w:rPr>
          <w:rFonts w:hint="eastAsia"/>
        </w:rPr>
        <w:t>较上年预算安排增加</w:t>
      </w:r>
      <w:r>
        <w:rPr>
          <w:rFonts w:hint="eastAsia"/>
          <w:lang w:val="en-US" w:eastAsia="zh-CN"/>
        </w:rPr>
        <w:t>100.94</w:t>
      </w:r>
      <w:r>
        <w:rPr>
          <w:rFonts w:hint="eastAsia"/>
        </w:rPr>
        <w:t>万元</w:t>
      </w:r>
      <w:r>
        <w:rPr>
          <w:rFonts w:hint="eastAsia"/>
          <w:lang w:eastAsia="zh-CN"/>
        </w:rPr>
        <w:t>；</w:t>
      </w:r>
      <w:r>
        <w:rPr>
          <w:rFonts w:hint="eastAsia"/>
        </w:rPr>
        <w:t>项目支出359.23万元</w:t>
      </w:r>
      <w:r>
        <w:rPr>
          <w:rFonts w:hint="eastAsia"/>
          <w:lang w:eastAsia="zh-CN"/>
        </w:rPr>
        <w:t>，</w:t>
      </w:r>
      <w:r>
        <w:rPr>
          <w:rFonts w:hint="eastAsia"/>
        </w:rPr>
        <w:t>较上年预算安排增加</w:t>
      </w:r>
      <w:r>
        <w:rPr>
          <w:rFonts w:hint="eastAsia"/>
          <w:lang w:val="en-US" w:eastAsia="zh-CN"/>
        </w:rPr>
        <w:t>171.78</w:t>
      </w:r>
      <w:r>
        <w:rPr>
          <w:rFonts w:hint="eastAsia"/>
        </w:rPr>
        <w:t>万元。</w:t>
      </w:r>
    </w:p>
    <w:p w14:paraId="7226DE3C">
      <w:pPr>
        <w:pStyle w:val="19"/>
        <w:bidi w:val="0"/>
        <w:rPr>
          <w:rFonts w:hint="eastAsia"/>
        </w:rPr>
      </w:pPr>
      <w:r>
        <w:rPr>
          <w:rFonts w:hint="eastAsia"/>
        </w:rPr>
        <w:t>按支出功能科目划分：一般公共服务支出934.95万元，较上年预算安排增加</w:t>
      </w:r>
      <w:r>
        <w:rPr>
          <w:rFonts w:hint="eastAsia"/>
          <w:lang w:val="en-US" w:eastAsia="zh-CN"/>
        </w:rPr>
        <w:t>315.44</w:t>
      </w:r>
      <w:r>
        <w:rPr>
          <w:rFonts w:hint="eastAsia"/>
        </w:rPr>
        <w:t>万元；社会保障和就业支出59.78万元，较上年预算安排减少</w:t>
      </w:r>
      <w:r>
        <w:rPr>
          <w:rFonts w:hint="eastAsia"/>
          <w:lang w:val="en-US" w:eastAsia="zh-CN"/>
        </w:rPr>
        <w:t>45.72</w:t>
      </w:r>
      <w:r>
        <w:rPr>
          <w:rFonts w:hint="eastAsia"/>
        </w:rPr>
        <w:t>万元；卫生健康支出51.76万元，较上年预算安排增加</w:t>
      </w:r>
      <w:r>
        <w:rPr>
          <w:rFonts w:hint="eastAsia"/>
          <w:lang w:val="en-US" w:eastAsia="zh-CN"/>
        </w:rPr>
        <w:t>6.57</w:t>
      </w:r>
      <w:r>
        <w:rPr>
          <w:rFonts w:hint="eastAsia"/>
        </w:rPr>
        <w:t>万元；住房保障支出51.45万元，较上年预算安排增加</w:t>
      </w:r>
      <w:r>
        <w:rPr>
          <w:rFonts w:hint="eastAsia"/>
          <w:lang w:val="en-US" w:eastAsia="zh-CN"/>
        </w:rPr>
        <w:t>6.88</w:t>
      </w:r>
      <w:r>
        <w:rPr>
          <w:rFonts w:hint="eastAsia"/>
        </w:rPr>
        <w:t>万元。</w:t>
      </w:r>
    </w:p>
    <w:p w14:paraId="2E18CB1D">
      <w:pPr>
        <w:pStyle w:val="19"/>
        <w:bidi w:val="0"/>
        <w:rPr>
          <w:rFonts w:hint="eastAsia"/>
        </w:rPr>
      </w:pPr>
      <w:r>
        <w:rPr>
          <w:rFonts w:hint="eastAsia"/>
        </w:rPr>
        <w:t>按支出经济分类划分：工资福利支出675.32万元，较上年预算安排增加</w:t>
      </w:r>
      <w:r>
        <w:rPr>
          <w:rFonts w:hint="eastAsia"/>
          <w:lang w:val="en-US" w:eastAsia="zh-CN"/>
        </w:rPr>
        <w:t>100.84</w:t>
      </w:r>
      <w:r>
        <w:rPr>
          <w:rFonts w:hint="eastAsia"/>
        </w:rPr>
        <w:t>万元；商品和服务支出349.84万元，较上年预算安排增加</w:t>
      </w:r>
      <w:r>
        <w:rPr>
          <w:rFonts w:hint="eastAsia"/>
          <w:lang w:val="en-US" w:eastAsia="zh-CN"/>
        </w:rPr>
        <w:t>165.28</w:t>
      </w:r>
      <w:r>
        <w:rPr>
          <w:rFonts w:hint="eastAsia"/>
        </w:rPr>
        <w:t>万元；对个人和家庭的补助62.78万元，较上年预算安排增加</w:t>
      </w:r>
      <w:r>
        <w:rPr>
          <w:rFonts w:hint="eastAsia"/>
          <w:lang w:val="en-US" w:eastAsia="zh-CN"/>
        </w:rPr>
        <w:t>6.59</w:t>
      </w:r>
      <w:r>
        <w:rPr>
          <w:rFonts w:hint="eastAsia"/>
        </w:rPr>
        <w:t>万元；资本性支出（基本建设）10.00万元，较上年预算安排增加</w:t>
      </w:r>
      <w:r>
        <w:rPr>
          <w:rFonts w:hint="eastAsia"/>
          <w:lang w:val="en-US" w:eastAsia="zh-CN"/>
        </w:rPr>
        <w:t>0</w:t>
      </w:r>
      <w:r>
        <w:rPr>
          <w:rFonts w:hint="eastAsia"/>
        </w:rPr>
        <w:t>万元。</w:t>
      </w:r>
    </w:p>
    <w:p w14:paraId="36AA75BF">
      <w:pPr>
        <w:pStyle w:val="20"/>
        <w:numPr>
          <w:ilvl w:val="0"/>
          <w:numId w:val="0"/>
        </w:numPr>
        <w:bidi w:val="0"/>
        <w:ind w:left="420" w:leftChars="200"/>
        <w:rPr>
          <w:rFonts w:hint="eastAsia"/>
          <w:lang w:val="en-US" w:eastAsia="zh-CN"/>
        </w:rPr>
      </w:pPr>
      <w:r>
        <w:rPr>
          <w:rFonts w:hint="eastAsia"/>
          <w:lang w:val="en-US" w:eastAsia="zh-CN"/>
        </w:rPr>
        <w:t xml:space="preserve"> (三)财政拨款支出情况</w:t>
      </w:r>
    </w:p>
    <w:p w14:paraId="24FA3A0E">
      <w:pPr>
        <w:pStyle w:val="19"/>
        <w:bidi w:val="0"/>
        <w:rPr>
          <w:rFonts w:hint="eastAsia"/>
        </w:rPr>
      </w:pPr>
      <w:r>
        <w:rPr>
          <w:rFonts w:hint="eastAsia"/>
          <w:lang w:eastAsia="zh-CN"/>
        </w:rPr>
        <w:t>2026</w:t>
      </w:r>
      <w:r>
        <w:rPr>
          <w:rFonts w:hint="eastAsia"/>
        </w:rPr>
        <w:t>年</w:t>
      </w:r>
      <w:r>
        <w:rPr>
          <w:rFonts w:hint="eastAsia"/>
          <w:lang w:eastAsia="zh-CN"/>
        </w:rPr>
        <w:t>中共赣州市委信访局</w:t>
      </w:r>
      <w:r>
        <w:rPr>
          <w:rFonts w:hint="eastAsia"/>
        </w:rPr>
        <w:t>财政拨款支出预算总额1087.54万元,较上年预算安排增加</w:t>
      </w:r>
      <w:r>
        <w:rPr>
          <w:rFonts w:hint="eastAsia"/>
          <w:lang w:val="en-US" w:eastAsia="zh-CN"/>
        </w:rPr>
        <w:t>272.77</w:t>
      </w:r>
      <w:r>
        <w:rPr>
          <w:rFonts w:hint="eastAsia"/>
        </w:rPr>
        <w:t>万元。</w:t>
      </w:r>
    </w:p>
    <w:p w14:paraId="73316B2F">
      <w:pPr>
        <w:pStyle w:val="19"/>
        <w:bidi w:val="0"/>
        <w:rPr>
          <w:rFonts w:hint="eastAsia"/>
        </w:rPr>
      </w:pPr>
      <w:r>
        <w:rPr>
          <w:rFonts w:hint="eastAsia"/>
        </w:rPr>
        <w:t>按支出功能科目划分：一般公共服务支出924.55万元，社会保障和就业支出59.78万元，卫生健康支出51.76万元，住房保障支出51.45万元。</w:t>
      </w:r>
    </w:p>
    <w:p w14:paraId="57577408">
      <w:pPr>
        <w:pStyle w:val="19"/>
        <w:bidi w:val="0"/>
        <w:rPr>
          <w:rFonts w:hint="eastAsia"/>
        </w:rPr>
      </w:pPr>
      <w:r>
        <w:rPr>
          <w:rFonts w:hint="eastAsia"/>
        </w:rPr>
        <w:t>按支出项目类别划分：基本支出738.71万元,项目支出348.83万元。</w:t>
      </w:r>
    </w:p>
    <w:p w14:paraId="504EBD4F">
      <w:pPr>
        <w:pStyle w:val="19"/>
        <w:bidi w:val="0"/>
        <w:rPr>
          <w:rFonts w:hint="eastAsia"/>
        </w:rPr>
      </w:pPr>
      <w:r>
        <w:rPr>
          <w:rFonts w:hint="eastAsia"/>
        </w:rPr>
        <w:t>按支</w:t>
      </w:r>
      <w:r>
        <w:rPr>
          <w:rFonts w:hint="eastAsia"/>
          <w:lang w:val="en-US" w:eastAsia="zh-CN"/>
        </w:rPr>
        <w:t>出经济分类</w:t>
      </w:r>
      <w:r>
        <w:rPr>
          <w:rFonts w:hint="eastAsia"/>
        </w:rPr>
        <w:t>划分：工资福利支出675.32万元，商品和服务支出339.44万元，对个人和家庭的补助62.78万元，资本性支出（基本建设）10.00万元。</w:t>
      </w:r>
    </w:p>
    <w:p w14:paraId="071E2E59">
      <w:pPr>
        <w:pStyle w:val="20"/>
        <w:numPr>
          <w:ilvl w:val="0"/>
          <w:numId w:val="0"/>
        </w:numPr>
        <w:bidi w:val="0"/>
        <w:ind w:firstLine="643" w:firstLineChars="200"/>
        <w:rPr>
          <w:rFonts w:hint="eastAsia"/>
          <w:lang w:val="en-US" w:eastAsia="zh-CN"/>
        </w:rPr>
      </w:pPr>
      <w:r>
        <w:rPr>
          <w:rFonts w:hint="eastAsia"/>
        </w:rPr>
        <w:t>(</w:t>
      </w:r>
      <w:r>
        <w:rPr>
          <w:rFonts w:hint="eastAsia"/>
          <w:lang w:val="en-US" w:eastAsia="zh-CN"/>
        </w:rPr>
        <w:t>四)政府性基金情况</w:t>
      </w:r>
    </w:p>
    <w:p w14:paraId="283DB53B">
      <w:pPr>
        <w:pStyle w:val="19"/>
        <w:bidi w:val="0"/>
        <w:rPr>
          <w:rFonts w:hint="eastAsia"/>
          <w:lang w:eastAsia="zh-CN"/>
        </w:rPr>
      </w:pPr>
      <w:r>
        <w:rPr>
          <w:rFonts w:hint="eastAsia"/>
          <w:lang w:eastAsia="zh-CN"/>
        </w:rPr>
        <w:t>2026</w:t>
      </w:r>
      <w:r>
        <w:rPr>
          <w:rFonts w:hint="eastAsia"/>
        </w:rPr>
        <w:t>年本部门没有使用政府性基金预算拨款安排的支出</w:t>
      </w:r>
      <w:r>
        <w:rPr>
          <w:rFonts w:hint="eastAsia"/>
          <w:lang w:eastAsia="zh-CN"/>
        </w:rPr>
        <w:t>。</w:t>
      </w:r>
    </w:p>
    <w:p w14:paraId="15617622">
      <w:pPr>
        <w:pStyle w:val="20"/>
        <w:numPr>
          <w:ilvl w:val="0"/>
          <w:numId w:val="0"/>
        </w:numPr>
        <w:bidi w:val="0"/>
        <w:ind w:firstLine="643" w:firstLineChars="200"/>
        <w:rPr>
          <w:rFonts w:hint="eastAsia"/>
          <w:lang w:val="en-US" w:eastAsia="zh-CN"/>
        </w:rPr>
      </w:pPr>
      <w:r>
        <w:rPr>
          <w:rFonts w:hint="eastAsia"/>
          <w:lang w:val="en-US" w:eastAsia="zh-CN"/>
        </w:rPr>
        <w:t>(五)国有资本经营情况</w:t>
      </w:r>
    </w:p>
    <w:p w14:paraId="1CB3DA94">
      <w:pPr>
        <w:pStyle w:val="19"/>
        <w:bidi w:val="0"/>
        <w:rPr>
          <w:rFonts w:hint="eastAsia"/>
        </w:rPr>
      </w:pPr>
      <w:r>
        <w:rPr>
          <w:rFonts w:hint="eastAsia"/>
          <w:lang w:eastAsia="zh-CN"/>
        </w:rPr>
        <w:t>2026</w:t>
      </w:r>
      <w:r>
        <w:rPr>
          <w:rFonts w:hint="eastAsia"/>
        </w:rPr>
        <w:t>年本部门没有使用国有资本经营预算拨款安排的支出。</w:t>
      </w:r>
    </w:p>
    <w:p w14:paraId="1B2C2D96">
      <w:pPr>
        <w:pStyle w:val="20"/>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243B7A01">
      <w:pPr>
        <w:pStyle w:val="19"/>
        <w:bidi w:val="0"/>
        <w:rPr>
          <w:rFonts w:ascii="Adobe 仿宋 Std R" w:hAnsi="Adobe 仿宋 Std R" w:eastAsia="Adobe 仿宋 Std R"/>
          <w:sz w:val="32"/>
          <w:szCs w:val="32"/>
        </w:rPr>
      </w:pPr>
      <w:r>
        <w:rPr>
          <w:rFonts w:hint="eastAsia"/>
          <w:lang w:eastAsia="zh-CN"/>
        </w:rPr>
        <w:t>2026</w:t>
      </w:r>
      <w:r>
        <w:rPr>
          <w:rFonts w:hint="eastAsia"/>
        </w:rPr>
        <w:t>年部门机关运行费预算</w:t>
      </w:r>
      <w:r>
        <w:rPr>
          <w:rFonts w:hint="eastAsia"/>
          <w:lang w:val="en-US" w:eastAsia="zh-CN"/>
        </w:rPr>
        <w:t>79.33</w:t>
      </w:r>
      <w:r>
        <w:rPr>
          <w:rFonts w:hint="eastAsia"/>
        </w:rPr>
        <w:t>万元，比2025年预算增加</w:t>
      </w:r>
      <w:r>
        <w:rPr>
          <w:rFonts w:hint="eastAsia"/>
          <w:lang w:val="en-US" w:eastAsia="zh-CN"/>
        </w:rPr>
        <w:t>12.22</w:t>
      </w:r>
      <w:r>
        <w:rPr>
          <w:rFonts w:hint="eastAsia"/>
        </w:rPr>
        <w:t>万元，增长</w:t>
      </w:r>
      <w:r>
        <w:rPr>
          <w:rFonts w:hint="eastAsia"/>
          <w:lang w:val="en-US" w:eastAsia="zh-CN"/>
        </w:rPr>
        <w:t>18.21</w:t>
      </w:r>
      <w:r>
        <w:rPr>
          <w:rFonts w:hint="eastAsia"/>
        </w:rPr>
        <w:t>%。</w:t>
      </w:r>
    </w:p>
    <w:p w14:paraId="6288944A">
      <w:pPr>
        <w:pStyle w:val="20"/>
        <w:numPr>
          <w:ilvl w:val="0"/>
          <w:numId w:val="0"/>
        </w:numPr>
        <w:bidi w:val="0"/>
        <w:ind w:firstLine="643" w:firstLineChars="200"/>
        <w:rPr>
          <w:rFonts w:hint="eastAsia"/>
          <w:lang w:val="en-US" w:eastAsia="zh-CN"/>
        </w:rPr>
      </w:pPr>
      <w:r>
        <w:rPr>
          <w:rFonts w:hint="eastAsia"/>
          <w:lang w:val="en-US" w:eastAsia="zh-CN"/>
        </w:rPr>
        <w:t>(七)政府采购情况</w:t>
      </w:r>
    </w:p>
    <w:p w14:paraId="41EE2181">
      <w:pPr>
        <w:pStyle w:val="19"/>
        <w:bidi w:val="0"/>
        <w:rPr>
          <w:rFonts w:hint="eastAsia"/>
          <w:lang w:eastAsia="zh-CN"/>
        </w:rPr>
      </w:pPr>
      <w:r>
        <w:rPr>
          <w:rFonts w:hint="eastAsia"/>
          <w:lang w:eastAsia="zh-CN"/>
        </w:rPr>
        <w:t>2026年部门所属各单位政府采购总额 16.00</w:t>
      </w:r>
      <w:r>
        <w:rPr>
          <w:rFonts w:hint="eastAsia"/>
          <w:lang w:val="en-US" w:eastAsia="zh-CN"/>
        </w:rPr>
        <w:t xml:space="preserve"> </w:t>
      </w:r>
      <w:r>
        <w:rPr>
          <w:rFonts w:hint="eastAsia"/>
          <w:lang w:eastAsia="zh-CN"/>
        </w:rPr>
        <w:t>万元,其中: 政府采购货物预算  13.00 万元, 政府采购工程预算 0.00</w:t>
      </w:r>
      <w:r>
        <w:rPr>
          <w:rFonts w:hint="eastAsia"/>
          <w:lang w:val="en-US" w:eastAsia="zh-CN"/>
        </w:rPr>
        <w:t xml:space="preserve"> </w:t>
      </w:r>
      <w:r>
        <w:rPr>
          <w:rFonts w:hint="eastAsia"/>
          <w:lang w:eastAsia="zh-CN"/>
        </w:rPr>
        <w:t>万元, 政府采购服务预算 3.00 万元。</w:t>
      </w:r>
    </w:p>
    <w:p w14:paraId="286840EA">
      <w:pPr>
        <w:pStyle w:val="20"/>
        <w:numPr>
          <w:ilvl w:val="0"/>
          <w:numId w:val="0"/>
        </w:numPr>
        <w:bidi w:val="0"/>
        <w:ind w:firstLine="643" w:firstLineChars="200"/>
        <w:rPr>
          <w:rFonts w:hint="eastAsia"/>
          <w:lang w:val="en-US" w:eastAsia="zh-CN"/>
        </w:rPr>
      </w:pPr>
      <w:r>
        <w:rPr>
          <w:rFonts w:hint="eastAsia"/>
          <w:lang w:val="en-US" w:eastAsia="zh-CN"/>
        </w:rPr>
        <w:t>(八)国有资产占有使用情况</w:t>
      </w:r>
    </w:p>
    <w:p w14:paraId="6F7693C6">
      <w:pPr>
        <w:pStyle w:val="19"/>
        <w:bidi w:val="0"/>
        <w:rPr>
          <w:rFonts w:hint="eastAsia"/>
          <w:lang w:eastAsia="zh-CN"/>
        </w:rPr>
      </w:pPr>
      <w:r>
        <w:rPr>
          <w:rFonts w:hint="eastAsia"/>
          <w:lang w:eastAsia="zh-CN"/>
        </w:rPr>
        <w:t>截至2025年7月31日, 部门共有车辆</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14:paraId="11F22CE8">
      <w:pPr>
        <w:pStyle w:val="19"/>
        <w:bidi w:val="0"/>
        <w:rPr>
          <w:rFonts w:hint="eastAsia"/>
          <w:lang w:eastAsia="zh-CN"/>
        </w:rPr>
      </w:pPr>
      <w:r>
        <w:rPr>
          <w:rFonts w:hint="eastAsia"/>
          <w:lang w:eastAsia="zh-CN"/>
        </w:rPr>
        <w:t>2026年部门预算安排购置车辆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0</w:t>
      </w:r>
      <w:r>
        <w:rPr>
          <w:rFonts w:hint="eastAsia"/>
          <w:lang w:eastAsia="zh-CN"/>
        </w:rPr>
        <w:t>。</w:t>
      </w:r>
    </w:p>
    <w:p w14:paraId="1F056615">
      <w:pPr>
        <w:pStyle w:val="20"/>
        <w:numPr>
          <w:ilvl w:val="0"/>
          <w:numId w:val="0"/>
        </w:numPr>
        <w:bidi w:val="0"/>
        <w:ind w:firstLine="643" w:firstLineChars="200"/>
        <w:rPr>
          <w:rFonts w:hint="eastAsia"/>
          <w:lang w:val="en-US" w:eastAsia="zh-CN"/>
        </w:rPr>
      </w:pPr>
      <w:r>
        <w:rPr>
          <w:rFonts w:hint="eastAsia"/>
          <w:lang w:val="en-US" w:eastAsia="zh-CN"/>
        </w:rPr>
        <w:t>(九)驻京信访工作项目情况说明</w:t>
      </w:r>
    </w:p>
    <w:p w14:paraId="2F217530">
      <w:pPr>
        <w:pStyle w:val="19"/>
        <w:bidi w:val="0"/>
        <w:rPr>
          <w:rFonts w:hint="default"/>
          <w:lang w:val="en-US" w:eastAsia="zh-CN"/>
        </w:rPr>
      </w:pPr>
      <w:r>
        <w:rPr>
          <w:rFonts w:hint="eastAsia"/>
          <w:lang w:val="en-US" w:eastAsia="zh-CN"/>
        </w:rPr>
        <w:t>(</w:t>
      </w:r>
      <w:r>
        <w:rPr>
          <w:rFonts w:hint="eastAsia"/>
          <w:lang w:eastAsia="zh-CN"/>
        </w:rPr>
        <w:t>1</w:t>
      </w:r>
      <w:r>
        <w:rPr>
          <w:rFonts w:hint="eastAsia"/>
          <w:lang w:val="en-US" w:eastAsia="zh-CN"/>
        </w:rPr>
        <w:t>)</w:t>
      </w:r>
      <w:r>
        <w:rPr>
          <w:rFonts w:hint="eastAsia"/>
          <w:lang w:eastAsia="zh-CN"/>
        </w:rPr>
        <w:t>项目概述</w:t>
      </w:r>
      <w:r>
        <w:rPr>
          <w:rFonts w:hint="eastAsia"/>
          <w:lang w:val="en-US" w:eastAsia="zh-CN"/>
        </w:rPr>
        <w:t>:保障赣州信访网上服务中心系统平稳、有序运行，我市信访信息化建设有序推进；为锻炼的信访督查专员提供办公经费、差旅等经费，保障信访督查专员正常履职，有必要的经费开展学习、工作、锻炼；按上级要求组织开展驻京信访工作和重点时期、各级各类重要会议及活动的信访保障工作有序开展、高效进行；扎实开展“访调对接”工作，加大重点信访问题督查督办力度，积极融入粤港澳大湾区建设。按上级要求组织开展驻京信访工作和重点时期、各级各类重要会议及活动的信访保障工作，保障驻京信访工作和重点时期、重要会议及活动期间的信访保障工作有序开展、高效进行。</w:t>
      </w:r>
    </w:p>
    <w:p w14:paraId="1A2AE4E1">
      <w:pPr>
        <w:pStyle w:val="19"/>
        <w:bidi w:val="0"/>
        <w:ind w:left="0" w:leftChars="0" w:firstLine="0" w:firstLineChars="0"/>
        <w:rPr>
          <w:rFonts w:hint="eastAsia" w:eastAsia="仿宋_GB2312"/>
          <w:lang w:val="en-US" w:eastAsia="zh-CN"/>
        </w:rPr>
      </w:pPr>
      <w:r>
        <w:rPr>
          <w:rFonts w:hint="eastAsia"/>
          <w:lang w:eastAsia="zh-CN"/>
        </w:rPr>
        <w:t>　　（2）立项依据</w:t>
      </w:r>
      <w:r>
        <w:rPr>
          <w:rFonts w:hint="eastAsia"/>
          <w:lang w:val="en-US" w:eastAsia="zh-CN"/>
        </w:rPr>
        <w:t>:</w:t>
      </w:r>
      <w:r>
        <w:rPr>
          <w:rFonts w:hint="eastAsia" w:ascii="宋体" w:hAnsi="宋体" w:eastAsia="仿宋_GB2312" w:cs="仿宋_GB2312"/>
          <w:bCs/>
          <w:sz w:val="32"/>
          <w:szCs w:val="32"/>
        </w:rPr>
        <w:t>根据</w:t>
      </w:r>
      <w:r>
        <w:rPr>
          <w:rFonts w:hint="eastAsia" w:ascii="宋体" w:hAnsi="宋体" w:eastAsia="仿宋_GB2312" w:cs="仿宋_GB2312"/>
          <w:sz w:val="32"/>
          <w:szCs w:val="32"/>
        </w:rPr>
        <w:t>中央办公厅、国务院办公厅《关于加强新时代网上信访工作的意见》（厅字〔2021〕48号）文件精神；根据《&lt;赣州市市直单位新任副县（处）级领导干部担任市信访督查专员暂行办法&gt;的通知》（赣市字〔2004〕74号）文件精神；根据赣州市委办公室、市政府办公室《关于创新社会矛盾预防化解机制的实施意见》文件，第19条规定“实施调解奖补”；根据中共赣州市委全面依法治市委员会办公室 赣州市平安赣州建设领导小组办公室《&lt;关于推进行业性 专业性人民调解工作的实施意见&gt;的通知》文件</w:t>
      </w:r>
      <w:r>
        <w:rPr>
          <w:rFonts w:hint="eastAsia" w:ascii="宋体" w:hAnsi="宋体" w:cs="仿宋_GB2312"/>
          <w:sz w:val="32"/>
          <w:szCs w:val="32"/>
          <w:lang w:val="en-US" w:eastAsia="zh-CN"/>
        </w:rPr>
        <w:t>；2020年8月11日省信访工作联席会议下发《关于进一步明确驻京信访工作有关事项的通知》，赣州市财政局关于印发《赣州市市直机关差旅费管理办法》。</w:t>
      </w:r>
    </w:p>
    <w:p w14:paraId="0F29B55B">
      <w:pPr>
        <w:pStyle w:val="19"/>
        <w:bidi w:val="0"/>
        <w:ind w:left="0" w:leftChars="0" w:firstLine="640" w:firstLineChars="0"/>
        <w:rPr>
          <w:rFonts w:hint="eastAsia" w:ascii="宋体" w:hAnsi="宋体" w:eastAsia="仿宋_GB2312" w:cs="仿宋_GB2312"/>
          <w:bCs/>
          <w:sz w:val="32"/>
          <w:szCs w:val="32"/>
        </w:rPr>
      </w:pPr>
      <w:r>
        <w:rPr>
          <w:rFonts w:hint="eastAsia"/>
          <w:lang w:eastAsia="zh-CN"/>
        </w:rPr>
        <w:t>（3）实施主体：</w:t>
      </w:r>
      <w:r>
        <w:rPr>
          <w:rFonts w:hint="eastAsia" w:ascii="宋体" w:hAnsi="宋体" w:eastAsia="仿宋_GB2312" w:cs="仿宋_GB2312"/>
          <w:bCs/>
          <w:sz w:val="32"/>
          <w:szCs w:val="32"/>
        </w:rPr>
        <w:t>中共赣州市委信访局</w:t>
      </w:r>
    </w:p>
    <w:p w14:paraId="7083C298">
      <w:pPr>
        <w:pStyle w:val="19"/>
        <w:bidi w:val="0"/>
        <w:ind w:left="0" w:leftChars="0" w:firstLine="640" w:firstLineChars="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4）实施方案：按相关文件要求和实际工作需要，组织信访督查专员开展学习、锻炼和相关工作；根据中央和省里部署要求，安排网上信访工作经费，为信访事项及时、有序、快捷、高效流转办理，提供可靠平台和技术支撑；扎实开展“访调对接”工作，保障“访调对接”工作各项开支，确保“访调对接”工作有序开展，积极推动重点信访矛盾纠纷依法、及时、就地处理化解；按上级要求组织开展驻京信访工作和重点时期、各级各类重要会议及活动的信访保障工作，保障驻京信访工作和重点时期、重要会议及活动期间的信访保障工作有序开展、高效进行。</w:t>
      </w:r>
    </w:p>
    <w:p w14:paraId="180D4C2D">
      <w:pPr>
        <w:pStyle w:val="19"/>
        <w:bidi w:val="0"/>
        <w:ind w:left="0" w:leftChars="0" w:firstLine="960" w:firstLineChars="300"/>
        <w:rPr>
          <w:rFonts w:hint="eastAsia" w:ascii="Times New Roman" w:hAnsi="Times New Roman" w:eastAsia="仿宋_GB2312" w:cs="Times New Roman"/>
          <w:bCs/>
          <w:color w:val="auto"/>
          <w:kern w:val="2"/>
          <w:sz w:val="32"/>
          <w:szCs w:val="32"/>
          <w:lang w:val="en-US" w:eastAsia="zh-CN" w:bidi="ar-SA"/>
        </w:rPr>
      </w:pPr>
      <w:r>
        <w:rPr>
          <w:rFonts w:hint="eastAsia"/>
          <w:lang w:eastAsia="zh-CN"/>
        </w:rPr>
        <w:t>（5）实施周期：</w:t>
      </w:r>
      <w:r>
        <w:rPr>
          <w:rFonts w:hint="eastAsia" w:ascii="Times New Roman" w:hAnsi="Times New Roman" w:eastAsia="仿宋_GB2312" w:cs="Times New Roman"/>
          <w:bCs/>
          <w:color w:val="auto"/>
          <w:kern w:val="2"/>
          <w:sz w:val="32"/>
          <w:szCs w:val="32"/>
          <w:lang w:val="en-US" w:eastAsia="zh-CN" w:bidi="ar-SA"/>
        </w:rPr>
        <w:t>202</w:t>
      </w:r>
      <w:r>
        <w:rPr>
          <w:rFonts w:hint="eastAsia" w:ascii="Times New Roman" w:hAnsi="Times New Roman" w:cs="Times New Roman"/>
          <w:bCs/>
          <w:color w:val="auto"/>
          <w:kern w:val="2"/>
          <w:sz w:val="32"/>
          <w:szCs w:val="32"/>
          <w:lang w:val="en-US" w:eastAsia="zh-CN" w:bidi="ar-SA"/>
        </w:rPr>
        <w:t>6</w:t>
      </w:r>
      <w:r>
        <w:rPr>
          <w:rFonts w:hint="eastAsia" w:ascii="Times New Roman" w:hAnsi="Times New Roman" w:eastAsia="仿宋_GB2312" w:cs="Times New Roman"/>
          <w:bCs/>
          <w:color w:val="auto"/>
          <w:kern w:val="2"/>
          <w:sz w:val="32"/>
          <w:szCs w:val="32"/>
          <w:lang w:val="en-US" w:eastAsia="zh-CN" w:bidi="ar-SA"/>
        </w:rPr>
        <w:t>年1月1日-2026年12月31日</w:t>
      </w:r>
    </w:p>
    <w:p w14:paraId="2F923C44">
      <w:pPr>
        <w:pStyle w:val="19"/>
        <w:bidi w:val="0"/>
        <w:rPr>
          <w:rFonts w:hint="eastAsia"/>
          <w:lang w:eastAsia="zh-CN"/>
        </w:rPr>
      </w:pPr>
      <w:r>
        <w:rPr>
          <w:rFonts w:hint="eastAsia"/>
          <w:lang w:eastAsia="zh-CN"/>
        </w:rPr>
        <w:t xml:space="preserve">  （6）年度预算安排：</w:t>
      </w:r>
      <w:r>
        <w:rPr>
          <w:rFonts w:hint="eastAsia"/>
          <w:lang w:val="en-US" w:eastAsia="zh-CN"/>
        </w:rPr>
        <w:t>311万元。</w:t>
      </w:r>
    </w:p>
    <w:p w14:paraId="7FB5F8B3">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34B939F5">
      <w:pPr>
        <w:pStyle w:val="19"/>
        <w:bidi w:val="0"/>
        <w:rPr>
          <w:rFonts w:hint="eastAsia"/>
          <w:lang w:eastAsia="zh-CN"/>
        </w:rPr>
      </w:pPr>
      <w:r>
        <w:rPr>
          <w:rFonts w:hint="eastAsia"/>
          <w:lang w:eastAsia="zh-CN"/>
        </w:rPr>
        <w:t>2026年中共赣州市委信访局财政拨款"三公"经费安排2.00万元，其中：</w:t>
      </w:r>
    </w:p>
    <w:p w14:paraId="75B7927C">
      <w:pPr>
        <w:pStyle w:val="19"/>
        <w:bidi w:val="0"/>
        <w:rPr>
          <w:rFonts w:hint="eastAsia"/>
          <w:lang w:eastAsia="zh-CN"/>
        </w:rPr>
      </w:pPr>
      <w:r>
        <w:rPr>
          <w:rFonts w:hint="eastAsia"/>
          <w:lang w:eastAsia="zh-CN"/>
        </w:rPr>
        <w:t>因公出国0.00万元,比上年增（减）</w:t>
      </w:r>
      <w:r>
        <w:rPr>
          <w:rFonts w:hint="eastAsia"/>
          <w:lang w:val="en-US" w:eastAsia="zh-CN"/>
        </w:rPr>
        <w:t>0</w:t>
      </w:r>
      <w:r>
        <w:rPr>
          <w:rFonts w:hint="eastAsia"/>
          <w:lang w:eastAsia="zh-CN"/>
        </w:rPr>
        <w:t>万元，主要原因是：</w:t>
      </w:r>
      <w:r>
        <w:rPr>
          <w:rFonts w:hint="eastAsia" w:ascii="宋体" w:hAnsi="宋体" w:eastAsia="仿宋_GB2312" w:cs="仿宋_GB2312"/>
          <w:bCs/>
          <w:sz w:val="32"/>
          <w:szCs w:val="32"/>
        </w:rPr>
        <w:t>与上年安排保持一致</w:t>
      </w:r>
      <w:r>
        <w:rPr>
          <w:rFonts w:hint="eastAsia"/>
          <w:lang w:eastAsia="zh-CN"/>
        </w:rPr>
        <w:t>。</w:t>
      </w:r>
    </w:p>
    <w:p w14:paraId="4A76DBC2">
      <w:pPr>
        <w:pStyle w:val="19"/>
        <w:bidi w:val="0"/>
        <w:rPr>
          <w:rFonts w:hint="eastAsia"/>
          <w:lang w:eastAsia="zh-CN"/>
        </w:rPr>
      </w:pPr>
      <w:r>
        <w:rPr>
          <w:rFonts w:hint="eastAsia"/>
          <w:lang w:eastAsia="zh-CN"/>
        </w:rPr>
        <w:t>公务接待2.00万元,比上年增（减）</w:t>
      </w:r>
      <w:r>
        <w:rPr>
          <w:rFonts w:hint="eastAsia"/>
          <w:lang w:val="en-US" w:eastAsia="zh-CN"/>
        </w:rPr>
        <w:t>0</w:t>
      </w:r>
      <w:r>
        <w:rPr>
          <w:rFonts w:hint="eastAsia"/>
          <w:lang w:eastAsia="zh-CN"/>
        </w:rPr>
        <w:t>万元，主要原因是：</w:t>
      </w:r>
      <w:r>
        <w:rPr>
          <w:rFonts w:hint="eastAsia" w:ascii="宋体" w:hAnsi="宋体" w:eastAsia="仿宋_GB2312" w:cs="仿宋_GB2312"/>
          <w:bCs/>
          <w:sz w:val="32"/>
          <w:szCs w:val="32"/>
        </w:rPr>
        <w:t>与上年安排保持一致</w:t>
      </w:r>
      <w:r>
        <w:rPr>
          <w:rFonts w:hint="default" w:ascii="Times New Roman" w:hAnsi="Times New Roman" w:eastAsia="仿宋_GB2312" w:cs="Times New Roman"/>
          <w:bCs/>
          <w:color w:val="auto"/>
          <w:sz w:val="32"/>
          <w:szCs w:val="32"/>
        </w:rPr>
        <w:t>。</w:t>
      </w:r>
    </w:p>
    <w:p w14:paraId="166FB34F">
      <w:pPr>
        <w:pStyle w:val="19"/>
        <w:bidi w:val="0"/>
        <w:rPr>
          <w:rFonts w:hint="eastAsia"/>
          <w:lang w:eastAsia="zh-CN"/>
        </w:rPr>
      </w:pPr>
      <w:r>
        <w:rPr>
          <w:rFonts w:hint="eastAsia"/>
          <w:lang w:eastAsia="zh-CN"/>
        </w:rPr>
        <w:t>公务用车运行0.00万元,比上年增（减）</w:t>
      </w:r>
      <w:r>
        <w:rPr>
          <w:rFonts w:hint="eastAsia"/>
          <w:lang w:val="en-US" w:eastAsia="zh-CN"/>
        </w:rPr>
        <w:t>0</w:t>
      </w:r>
      <w:r>
        <w:rPr>
          <w:rFonts w:hint="eastAsia"/>
          <w:lang w:eastAsia="zh-CN"/>
        </w:rPr>
        <w:t>万元，主要原因是：</w:t>
      </w:r>
      <w:r>
        <w:rPr>
          <w:rFonts w:hint="eastAsia" w:ascii="宋体" w:hAnsi="宋体" w:eastAsia="仿宋_GB2312" w:cs="仿宋_GB2312"/>
          <w:bCs/>
          <w:sz w:val="32"/>
          <w:szCs w:val="32"/>
        </w:rPr>
        <w:t>与上年安排保持一致</w:t>
      </w:r>
      <w:r>
        <w:rPr>
          <w:rFonts w:hint="eastAsia"/>
          <w:lang w:eastAsia="zh-CN"/>
        </w:rPr>
        <w:t>。</w:t>
      </w:r>
    </w:p>
    <w:p w14:paraId="37A09CB5">
      <w:pPr>
        <w:pStyle w:val="19"/>
        <w:bidi w:val="0"/>
        <w:rPr>
          <w:rFonts w:hint="eastAsia"/>
          <w:lang w:eastAsia="zh-CN"/>
        </w:rPr>
      </w:pPr>
      <w:r>
        <w:rPr>
          <w:rFonts w:hint="eastAsia"/>
          <w:lang w:eastAsia="zh-CN"/>
        </w:rPr>
        <w:t>公务用车购置0.00万元,比上年增（减）</w:t>
      </w:r>
      <w:r>
        <w:rPr>
          <w:rFonts w:hint="eastAsia"/>
          <w:lang w:val="en-US" w:eastAsia="zh-CN"/>
        </w:rPr>
        <w:t>0</w:t>
      </w:r>
      <w:r>
        <w:rPr>
          <w:rFonts w:hint="eastAsia"/>
          <w:lang w:eastAsia="zh-CN"/>
        </w:rPr>
        <w:t>万元，主要原因是：</w:t>
      </w:r>
      <w:r>
        <w:rPr>
          <w:rFonts w:hint="eastAsia" w:ascii="宋体" w:hAnsi="宋体" w:eastAsia="仿宋_GB2312" w:cs="仿宋_GB2312"/>
          <w:bCs/>
          <w:sz w:val="32"/>
          <w:szCs w:val="32"/>
        </w:rPr>
        <w:t>与上年安排保持一致</w:t>
      </w:r>
      <w:r>
        <w:rPr>
          <w:rFonts w:hint="eastAsia"/>
          <w:lang w:eastAsia="zh-CN"/>
        </w:rPr>
        <w:t>。</w:t>
      </w:r>
    </w:p>
    <w:p w14:paraId="2CA6E54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黑体" w:eastAsia="楷体_GB2312" w:cstheme="minorBidi"/>
          <w:b/>
          <w:kern w:val="44"/>
          <w:sz w:val="32"/>
          <w:szCs w:val="30"/>
          <w:lang w:val="en-US" w:eastAsia="zh-CN" w:bidi="ar-SA"/>
        </w:rPr>
      </w:pPr>
      <w:r>
        <w:rPr>
          <w:rFonts w:hint="eastAsia" w:ascii="楷体_GB2312" w:hAnsi="黑体" w:eastAsia="楷体_GB2312" w:cstheme="minorBidi"/>
          <w:b/>
          <w:kern w:val="44"/>
          <w:sz w:val="32"/>
          <w:szCs w:val="30"/>
          <w:lang w:val="en-US" w:eastAsia="zh-CN" w:bidi="ar-SA"/>
        </w:rPr>
        <w:t>三</w:t>
      </w:r>
      <w:r>
        <w:rPr>
          <w:rFonts w:hint="default" w:ascii="楷体_GB2312" w:hAnsi="黑体" w:eastAsia="楷体_GB2312" w:cstheme="minorBidi"/>
          <w:b/>
          <w:kern w:val="44"/>
          <w:sz w:val="32"/>
          <w:szCs w:val="30"/>
          <w:lang w:val="en-US" w:eastAsia="zh-CN" w:bidi="ar-SA"/>
        </w:rPr>
        <w:t>、</w:t>
      </w:r>
      <w:r>
        <w:rPr>
          <w:rFonts w:hint="eastAsia" w:ascii="楷体_GB2312" w:hAnsi="黑体" w:eastAsia="楷体_GB2312" w:cstheme="minorBidi"/>
          <w:b/>
          <w:kern w:val="44"/>
          <w:sz w:val="32"/>
          <w:szCs w:val="30"/>
          <w:lang w:val="en-US" w:eastAsia="zh-CN" w:bidi="ar-SA"/>
        </w:rPr>
        <w:t>2026年财政拨款委托业务费预算情况说明</w:t>
      </w:r>
    </w:p>
    <w:p w14:paraId="06A4F8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Times New Roman"/>
          <w:bCs/>
          <w:color w:val="auto"/>
          <w:sz w:val="32"/>
          <w:szCs w:val="32"/>
          <w:lang w:eastAsia="zh-CN"/>
        </w:rPr>
      </w:pPr>
      <w:r>
        <w:rPr>
          <w:rFonts w:hint="eastAsia" w:ascii="宋体" w:hAnsi="宋体" w:eastAsia="仿宋_GB2312" w:cs="Times New Roman"/>
          <w:bCs/>
          <w:color w:val="auto"/>
          <w:sz w:val="32"/>
          <w:szCs w:val="32"/>
          <w:lang w:eastAsia="zh-CN"/>
        </w:rPr>
        <w:t>202</w:t>
      </w:r>
      <w:r>
        <w:rPr>
          <w:rFonts w:hint="eastAsia" w:ascii="宋体" w:hAnsi="宋体" w:eastAsia="仿宋_GB2312" w:cs="Times New Roman"/>
          <w:bCs/>
          <w:color w:val="auto"/>
          <w:sz w:val="32"/>
          <w:szCs w:val="32"/>
          <w:lang w:val="en-US" w:eastAsia="zh-CN"/>
        </w:rPr>
        <w:t>6</w:t>
      </w:r>
      <w:r>
        <w:rPr>
          <w:rFonts w:hint="eastAsia" w:ascii="宋体" w:hAnsi="宋体" w:eastAsia="仿宋_GB2312" w:cs="Times New Roman"/>
          <w:bCs/>
          <w:color w:val="auto"/>
          <w:sz w:val="32"/>
          <w:szCs w:val="32"/>
          <w:lang w:eastAsia="zh-CN"/>
        </w:rPr>
        <w:t>年中共赣州市委信访局部门财政拨款委托业务费</w:t>
      </w:r>
      <w:r>
        <w:rPr>
          <w:rFonts w:hint="default" w:ascii="宋体" w:hAnsi="宋体" w:eastAsia="仿宋_GB2312" w:cs="Times New Roman"/>
          <w:bCs/>
          <w:color w:val="auto"/>
          <w:sz w:val="32"/>
          <w:szCs w:val="32"/>
        </w:rPr>
        <w:t>安排</w:t>
      </w:r>
      <w:r>
        <w:rPr>
          <w:rFonts w:hint="eastAsia" w:ascii="宋体" w:hAnsi="宋体" w:eastAsia="仿宋_GB2312" w:cs="Times New Roman"/>
          <w:bCs/>
          <w:color w:val="auto"/>
          <w:sz w:val="32"/>
          <w:szCs w:val="32"/>
          <w:lang w:val="en-US" w:eastAsia="zh-CN"/>
        </w:rPr>
        <w:t>0</w:t>
      </w:r>
      <w:r>
        <w:rPr>
          <w:rFonts w:hint="default" w:ascii="宋体" w:hAnsi="宋体" w:eastAsia="仿宋_GB2312" w:cs="Times New Roman"/>
          <w:bCs/>
          <w:color w:val="auto"/>
          <w:sz w:val="32"/>
          <w:szCs w:val="32"/>
        </w:rPr>
        <w:t>万元，</w:t>
      </w:r>
      <w:r>
        <w:rPr>
          <w:rFonts w:hint="eastAsia" w:ascii="宋体" w:hAnsi="宋体" w:eastAsia="仿宋_GB2312" w:cs="Times New Roman"/>
          <w:bCs/>
          <w:color w:val="auto"/>
          <w:sz w:val="32"/>
          <w:szCs w:val="32"/>
          <w:lang w:eastAsia="zh-CN"/>
        </w:rPr>
        <w:t>比上年增长</w:t>
      </w:r>
      <w:r>
        <w:rPr>
          <w:rFonts w:hint="eastAsia" w:ascii="宋体" w:hAnsi="宋体" w:eastAsia="仿宋_GB2312" w:cs="Times New Roman"/>
          <w:bCs/>
          <w:color w:val="auto"/>
          <w:sz w:val="32"/>
          <w:szCs w:val="32"/>
          <w:lang w:val="en-US" w:eastAsia="zh-CN"/>
        </w:rPr>
        <w:t>0万元，主要原因是:</w:t>
      </w:r>
      <w:bookmarkStart w:id="0" w:name="_GoBack"/>
      <w:bookmarkEnd w:id="0"/>
      <w:r>
        <w:rPr>
          <w:rFonts w:hint="eastAsia" w:ascii="宋体" w:hAnsi="宋体" w:eastAsia="仿宋_GB2312" w:cs="Times New Roman"/>
          <w:bCs/>
          <w:color w:val="auto"/>
          <w:sz w:val="32"/>
          <w:szCs w:val="32"/>
          <w:lang w:eastAsia="zh-CN"/>
        </w:rPr>
        <w:t>与上年安排保持一致。</w:t>
      </w:r>
    </w:p>
    <w:p w14:paraId="428087B8">
      <w:pPr>
        <w:pStyle w:val="19"/>
        <w:bidi w:val="0"/>
        <w:rPr>
          <w:rFonts w:hint="eastAsia"/>
          <w:lang w:eastAsia="zh-CN"/>
        </w:rPr>
      </w:pPr>
    </w:p>
    <w:p w14:paraId="7C80901B">
      <w:pPr>
        <w:rPr>
          <w:rStyle w:val="13"/>
          <w:rFonts w:hint="eastAsia" w:ascii="仿宋" w:hAnsi="仿宋" w:eastAsia="仿宋"/>
          <w:sz w:val="32"/>
          <w:szCs w:val="32"/>
        </w:rPr>
      </w:pPr>
      <w:r>
        <w:rPr>
          <w:rStyle w:val="13"/>
          <w:rFonts w:hint="eastAsia" w:ascii="仿宋" w:hAnsi="仿宋" w:eastAsia="仿宋"/>
          <w:sz w:val="32"/>
          <w:szCs w:val="32"/>
        </w:rPr>
        <w:br w:type="page"/>
      </w:r>
    </w:p>
    <w:p w14:paraId="607316A0">
      <w:pPr>
        <w:pStyle w:val="18"/>
        <w:numPr>
          <w:ilvl w:val="0"/>
          <w:numId w:val="0"/>
        </w:numPr>
        <w:bidi w:val="0"/>
        <w:ind w:left="420" w:leftChars="200"/>
        <w:jc w:val="center"/>
        <w:rPr>
          <w:rFonts w:hint="eastAsia"/>
          <w:lang w:val="en-US" w:eastAsia="zh-CN"/>
        </w:rPr>
      </w:pPr>
      <w:r>
        <w:rPr>
          <w:rFonts w:hint="eastAsia"/>
          <w:lang w:val="en-US" w:eastAsia="zh-CN"/>
        </w:rPr>
        <w:t>第四部分   名词解释</w:t>
      </w:r>
    </w:p>
    <w:p w14:paraId="415B9B47">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4E9774A4">
      <w:pPr>
        <w:pStyle w:val="19"/>
        <w:bidi w:val="0"/>
        <w:rPr>
          <w:rFonts w:hint="eastAsia"/>
          <w:lang w:eastAsia="zh-CN"/>
        </w:rPr>
      </w:pPr>
      <w:r>
        <w:rPr>
          <w:rFonts w:hint="eastAsia"/>
          <w:lang w:eastAsia="zh-CN"/>
        </w:rPr>
        <w:t>各部门结合实际进行解释。</w:t>
      </w:r>
    </w:p>
    <w:p w14:paraId="302C00ED">
      <w:pPr>
        <w:pStyle w:val="19"/>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2D4D4D89">
      <w:pPr>
        <w:pStyle w:val="19"/>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1AFA83AD">
      <w:pPr>
        <w:pStyle w:val="19"/>
        <w:bidi w:val="0"/>
        <w:rPr>
          <w:rFonts w:hint="eastAsia"/>
          <w:lang w:eastAsia="zh-CN"/>
        </w:rPr>
      </w:pPr>
      <w:r>
        <w:rPr>
          <w:rFonts w:hint="eastAsia"/>
          <w:lang w:eastAsia="zh-CN"/>
        </w:rPr>
        <w:t>（三）事业收入：指事业单位开展专业业务活动及辅助活动取得的收入。</w:t>
      </w:r>
    </w:p>
    <w:p w14:paraId="3756C4DF">
      <w:pPr>
        <w:pStyle w:val="19"/>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618D3309">
      <w:pPr>
        <w:pStyle w:val="19"/>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3F77CE31">
      <w:pPr>
        <w:pStyle w:val="19"/>
        <w:bidi w:val="0"/>
        <w:rPr>
          <w:rFonts w:hint="eastAsia"/>
          <w:lang w:eastAsia="zh-CN"/>
        </w:rPr>
      </w:pPr>
      <w:r>
        <w:rPr>
          <w:rFonts w:hint="eastAsia"/>
          <w:lang w:eastAsia="zh-CN"/>
        </w:rPr>
        <w:t>（六）上级补助收入：指事业单位从主管部门和上级单位取得的非财政补助收入。</w:t>
      </w:r>
    </w:p>
    <w:p w14:paraId="49CCBC0C">
      <w:pPr>
        <w:pStyle w:val="19"/>
        <w:bidi w:val="0"/>
        <w:rPr>
          <w:rFonts w:hint="eastAsia"/>
          <w:lang w:eastAsia="zh-CN"/>
        </w:rPr>
      </w:pPr>
      <w:r>
        <w:rPr>
          <w:rFonts w:hint="eastAsia"/>
          <w:lang w:eastAsia="zh-CN"/>
        </w:rPr>
        <w:t>（七）其他收入：指除财政拨款、事业收入、事业单位经营收入等以外的各项收入。</w:t>
      </w:r>
    </w:p>
    <w:p w14:paraId="183B0665">
      <w:pPr>
        <w:pStyle w:val="19"/>
        <w:bidi w:val="0"/>
        <w:rPr>
          <w:rFonts w:hint="eastAsia"/>
          <w:lang w:eastAsia="zh-CN"/>
        </w:rPr>
      </w:pPr>
      <w:r>
        <w:rPr>
          <w:rFonts w:hint="eastAsia"/>
          <w:lang w:eastAsia="zh-CN"/>
        </w:rPr>
        <w:t>（八）使用非财政拨款结余：指历年滚存非限定用途的非财政拨款结余弥补本年度收支差额的数额。</w:t>
      </w:r>
    </w:p>
    <w:p w14:paraId="171ED062">
      <w:pPr>
        <w:pStyle w:val="19"/>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360649A7">
      <w:pPr>
        <w:ind w:firstLine="640" w:firstLineChars="200"/>
        <w:rPr>
          <w:rFonts w:ascii="Adobe 仿宋 Std R" w:hAnsi="Adobe 仿宋 Std R" w:eastAsia="Adobe 仿宋 Std R"/>
          <w:sz w:val="32"/>
          <w:szCs w:val="32"/>
        </w:rPr>
      </w:pPr>
    </w:p>
    <w:p w14:paraId="7D0E2D0E">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48149E1E">
      <w:pPr>
        <w:spacing w:line="600" w:lineRule="exact"/>
        <w:ind w:firstLine="640" w:firstLineChars="200"/>
        <w:rPr>
          <w:rFonts w:hint="eastAsia" w:ascii="宋体" w:hAnsi="宋体" w:eastAsia="仿宋_GB2312" w:cs="仿宋_GB2312"/>
          <w:bCs/>
          <w:sz w:val="32"/>
          <w:szCs w:val="32"/>
        </w:rPr>
      </w:pPr>
      <w:r>
        <w:rPr>
          <w:rFonts w:hint="eastAsia" w:ascii="宋体" w:hAnsi="宋体" w:eastAsia="仿宋_GB2312" w:cs="仿宋_GB2312"/>
          <w:bCs/>
          <w:sz w:val="32"/>
          <w:szCs w:val="32"/>
        </w:rPr>
        <w:t>（一）信访事务：反映各级政府用于接待群众来信来访方面的支出。</w:t>
      </w:r>
    </w:p>
    <w:p w14:paraId="3E937B0C">
      <w:pPr>
        <w:spacing w:line="600" w:lineRule="exact"/>
        <w:ind w:firstLine="640" w:firstLineChars="200"/>
        <w:rPr>
          <w:rFonts w:hint="eastAsia" w:ascii="宋体" w:hAnsi="宋体" w:eastAsia="仿宋_GB2312" w:cs="仿宋_GB2312"/>
          <w:bCs/>
          <w:sz w:val="32"/>
          <w:szCs w:val="32"/>
        </w:rPr>
      </w:pPr>
      <w:r>
        <w:rPr>
          <w:rFonts w:hint="eastAsia" w:ascii="宋体" w:hAnsi="宋体" w:eastAsia="仿宋_GB2312" w:cs="仿宋_GB2312"/>
          <w:bCs/>
          <w:sz w:val="32"/>
          <w:szCs w:val="32"/>
        </w:rPr>
        <w:t>（二）行政运行：反映行政单位（包括实行公务员管理的事业单位）的基本支出。</w:t>
      </w:r>
    </w:p>
    <w:p w14:paraId="381538EC">
      <w:pPr>
        <w:spacing w:line="600" w:lineRule="exact"/>
        <w:ind w:firstLine="640" w:firstLineChars="200"/>
        <w:rPr>
          <w:rFonts w:hint="eastAsia" w:ascii="宋体" w:hAnsi="宋体" w:eastAsia="仿宋_GB2312" w:cs="仿宋_GB2312"/>
          <w:bCs/>
          <w:sz w:val="32"/>
          <w:szCs w:val="32"/>
        </w:rPr>
      </w:pPr>
      <w:r>
        <w:rPr>
          <w:rFonts w:hint="eastAsia" w:ascii="宋体" w:hAnsi="宋体" w:eastAsia="仿宋_GB2312" w:cs="仿宋_GB2312"/>
          <w:bCs/>
          <w:sz w:val="32"/>
          <w:szCs w:val="32"/>
        </w:rPr>
        <w:t>（三）事业运行：反映事业单位的基本支出，不包括行政单位（包括实行公务员管理的事业单位）后勤服务中心、医务室等附属事业单位。</w:t>
      </w:r>
    </w:p>
    <w:p w14:paraId="06A05E33">
      <w:pPr>
        <w:spacing w:line="600" w:lineRule="exact"/>
        <w:ind w:firstLine="640" w:firstLineChars="200"/>
        <w:rPr>
          <w:rFonts w:hint="eastAsia" w:ascii="宋体" w:hAnsi="宋体" w:eastAsia="仿宋_GB2312" w:cs="仿宋_GB2312"/>
          <w:bCs/>
          <w:sz w:val="32"/>
          <w:szCs w:val="32"/>
        </w:rPr>
      </w:pPr>
      <w:r>
        <w:rPr>
          <w:rFonts w:hint="eastAsia" w:ascii="宋体" w:hAnsi="宋体" w:eastAsia="仿宋_GB2312" w:cs="仿宋_GB2312"/>
          <w:bCs/>
          <w:sz w:val="32"/>
          <w:szCs w:val="32"/>
        </w:rPr>
        <w:t>（四）行政单位离退休：反映行政单位（包括实行公务员管理的事业单位）开支的离退休经费。</w:t>
      </w:r>
    </w:p>
    <w:p w14:paraId="19C4CA91">
      <w:pPr>
        <w:spacing w:line="600" w:lineRule="exact"/>
        <w:ind w:firstLine="640" w:firstLineChars="200"/>
        <w:rPr>
          <w:rFonts w:hint="eastAsia" w:ascii="宋体" w:hAnsi="宋体" w:eastAsia="仿宋_GB2312" w:cs="仿宋_GB2312"/>
          <w:bCs/>
          <w:sz w:val="32"/>
          <w:szCs w:val="32"/>
        </w:rPr>
      </w:pPr>
      <w:r>
        <w:rPr>
          <w:rFonts w:hint="eastAsia" w:ascii="宋体" w:hAnsi="宋体" w:eastAsia="仿宋_GB2312" w:cs="仿宋_GB2312"/>
          <w:bCs/>
          <w:sz w:val="32"/>
          <w:szCs w:val="32"/>
        </w:rPr>
        <w:t>（五）机关事业单位基本养老保险缴费支出：反映机关事业单位实施养老保险制度由单位缴纳的基本养老保险费支出。</w:t>
      </w:r>
    </w:p>
    <w:p w14:paraId="30ADCAEF">
      <w:pPr>
        <w:spacing w:line="600" w:lineRule="exact"/>
        <w:ind w:firstLine="640" w:firstLineChars="200"/>
        <w:rPr>
          <w:rFonts w:hint="eastAsia" w:ascii="宋体" w:hAnsi="宋体" w:eastAsia="仿宋_GB2312" w:cs="仿宋_GB2312"/>
          <w:bCs/>
          <w:sz w:val="32"/>
          <w:szCs w:val="32"/>
        </w:rPr>
      </w:pPr>
      <w:r>
        <w:rPr>
          <w:rFonts w:hint="eastAsia" w:ascii="宋体" w:hAnsi="宋体" w:eastAsia="仿宋_GB2312" w:cs="仿宋_GB2312"/>
          <w:bCs/>
          <w:sz w:val="32"/>
          <w:szCs w:val="32"/>
        </w:rPr>
        <w:t>（六）机关事业单位职业年金缴费支出：反映机关事业单位实施养老保险制度由单位实际缴纳的职业年金支出。</w:t>
      </w:r>
    </w:p>
    <w:p w14:paraId="670A82FC">
      <w:pPr>
        <w:spacing w:line="600" w:lineRule="exact"/>
        <w:ind w:firstLine="640" w:firstLineChars="200"/>
        <w:rPr>
          <w:rFonts w:hint="eastAsia" w:ascii="宋体" w:hAnsi="宋体" w:eastAsia="仿宋_GB2312" w:cs="仿宋_GB2312"/>
          <w:bCs/>
          <w:sz w:val="32"/>
          <w:szCs w:val="32"/>
        </w:rPr>
      </w:pPr>
      <w:r>
        <w:rPr>
          <w:rFonts w:hint="eastAsia" w:ascii="宋体" w:hAnsi="宋体" w:eastAsia="仿宋_GB2312" w:cs="仿宋_GB2312"/>
          <w:bCs/>
          <w:sz w:val="32"/>
          <w:szCs w:val="32"/>
        </w:rPr>
        <w:t>（七）行政单位医疗：反映财政部门安排的行政单位（包括实行公务员管理的事业单位，下同）基本医疗保险缴费经费，未参加医疗保险的行政单位的公费医疗经费，按国家规定享受离休人员、红军老战士待遇人员的医疗经费。</w:t>
      </w:r>
    </w:p>
    <w:p w14:paraId="7E7BBFC1">
      <w:pPr>
        <w:spacing w:line="600" w:lineRule="exact"/>
        <w:ind w:firstLine="640" w:firstLineChars="200"/>
        <w:rPr>
          <w:rFonts w:hint="eastAsia" w:ascii="宋体" w:hAnsi="宋体" w:eastAsia="仿宋_GB2312" w:cs="仿宋_GB2312"/>
          <w:bCs/>
          <w:sz w:val="32"/>
          <w:szCs w:val="32"/>
        </w:rPr>
      </w:pPr>
      <w:r>
        <w:rPr>
          <w:rFonts w:hint="eastAsia" w:ascii="宋体" w:hAnsi="宋体" w:eastAsia="仿宋_GB2312" w:cs="仿宋_GB2312"/>
          <w:bCs/>
          <w:sz w:val="32"/>
          <w:szCs w:val="32"/>
        </w:rPr>
        <w:t>（八）事业单位医疗：反映财政部门安排的事业单位基本医疗保险缴费经费，未参加医疗保险的事业单位的公费医疗经费，按国家规定享受离休人员待遇的医疗经费。</w:t>
      </w:r>
    </w:p>
    <w:p w14:paraId="10953220">
      <w:pPr>
        <w:spacing w:line="600" w:lineRule="exact"/>
        <w:ind w:firstLine="640" w:firstLineChars="200"/>
        <w:rPr>
          <w:rFonts w:hint="eastAsia" w:ascii="宋体" w:hAnsi="宋体" w:eastAsia="仿宋_GB2312" w:cs="仿宋_GB2312"/>
          <w:bCs/>
          <w:sz w:val="32"/>
          <w:szCs w:val="32"/>
        </w:rPr>
      </w:pPr>
      <w:r>
        <w:rPr>
          <w:rFonts w:hint="eastAsia" w:ascii="宋体" w:hAnsi="宋体" w:eastAsia="仿宋_GB2312" w:cs="仿宋_GB2312"/>
          <w:bCs/>
          <w:sz w:val="32"/>
          <w:szCs w:val="32"/>
        </w:rPr>
        <w:t>（九）公务员医疗补助：反映财政部门安排的公务员医疗补助经费。</w:t>
      </w:r>
    </w:p>
    <w:p w14:paraId="60B5A038">
      <w:pPr>
        <w:spacing w:line="600" w:lineRule="exact"/>
        <w:ind w:firstLine="640" w:firstLineChars="200"/>
        <w:rPr>
          <w:rFonts w:hint="eastAsia" w:ascii="宋体" w:hAnsi="宋体" w:eastAsia="仿宋_GB2312" w:cs="仿宋_GB2312"/>
          <w:bCs/>
          <w:sz w:val="32"/>
          <w:szCs w:val="32"/>
        </w:rPr>
      </w:pPr>
      <w:r>
        <w:rPr>
          <w:rFonts w:hint="eastAsia" w:ascii="宋体" w:hAnsi="宋体" w:eastAsia="仿宋_GB2312" w:cs="仿宋_GB2312"/>
          <w:bCs/>
          <w:sz w:val="32"/>
          <w:szCs w:val="32"/>
        </w:rPr>
        <w:t>（十）其他行政事业单位医疗支出：反映除上述项目以外的其他用于行政事业单位医疗方面的支出。</w:t>
      </w:r>
    </w:p>
    <w:p w14:paraId="526AA6C7">
      <w:pPr>
        <w:spacing w:line="600" w:lineRule="exact"/>
        <w:ind w:firstLine="640" w:firstLineChars="200"/>
        <w:rPr>
          <w:rFonts w:hint="eastAsia" w:ascii="宋体" w:hAnsi="宋体" w:eastAsia="仿宋_GB2312" w:cs="仿宋_GB2312"/>
          <w:bCs/>
          <w:sz w:val="32"/>
          <w:szCs w:val="32"/>
        </w:rPr>
      </w:pPr>
      <w:r>
        <w:rPr>
          <w:rFonts w:hint="eastAsia" w:ascii="宋体" w:hAnsi="宋体" w:eastAsia="仿宋_GB2312" w:cs="仿宋_GB2312"/>
          <w:bCs/>
          <w:sz w:val="32"/>
          <w:szCs w:val="32"/>
        </w:rPr>
        <w:t>（十一）住房公积金：反映行政事业单位按人力资源和社会保障部、财政部规定的基本工资和津贴补贴以及规定比例为职工缴纳的住房公积金。</w:t>
      </w:r>
    </w:p>
    <w:p w14:paraId="0A41D76D">
      <w:pPr>
        <w:spacing w:line="600" w:lineRule="exact"/>
        <w:ind w:firstLine="640" w:firstLineChars="200"/>
        <w:rPr>
          <w:rFonts w:ascii="仿宋_GB2312" w:eastAsia="仿宋_GB2312"/>
          <w:color w:val="000000"/>
          <w:sz w:val="32"/>
          <w:szCs w:val="30"/>
        </w:rPr>
      </w:pPr>
      <w:r>
        <w:rPr>
          <w:rFonts w:hint="eastAsia" w:ascii="宋体" w:hAnsi="宋体" w:eastAsia="仿宋_GB2312" w:cs="仿宋_GB2312"/>
          <w:bCs/>
          <w:sz w:val="32"/>
          <w:szCs w:val="32"/>
        </w:rPr>
        <w:t>（十二）其他支出：反映除上述项目以外其他不能划分到具体功能科目中的支出项目。</w:t>
      </w:r>
    </w:p>
    <w:p w14:paraId="5A1B50D9">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45059F21">
      <w:pPr>
        <w:pStyle w:val="19"/>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7B8F34D3">
      <w:pPr>
        <w:pStyle w:val="19"/>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FE743">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zY5ZmMwZWEzMzQxOWIwM2QyODc3MDk3NDFhOWM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EF572E"/>
    <w:rsid w:val="020411DA"/>
    <w:rsid w:val="02176B4D"/>
    <w:rsid w:val="0288005D"/>
    <w:rsid w:val="02C06A14"/>
    <w:rsid w:val="02F05C02"/>
    <w:rsid w:val="0313418A"/>
    <w:rsid w:val="03183089"/>
    <w:rsid w:val="033409AD"/>
    <w:rsid w:val="036543A8"/>
    <w:rsid w:val="03713379"/>
    <w:rsid w:val="03A26EFC"/>
    <w:rsid w:val="03C54F15"/>
    <w:rsid w:val="044C3E08"/>
    <w:rsid w:val="048760F2"/>
    <w:rsid w:val="04AB0032"/>
    <w:rsid w:val="04D1736D"/>
    <w:rsid w:val="050D5F41"/>
    <w:rsid w:val="0548762F"/>
    <w:rsid w:val="056335EC"/>
    <w:rsid w:val="058E403A"/>
    <w:rsid w:val="05A96FBC"/>
    <w:rsid w:val="067A6028"/>
    <w:rsid w:val="069027A8"/>
    <w:rsid w:val="06BE4E5C"/>
    <w:rsid w:val="06D10F0F"/>
    <w:rsid w:val="06EB090E"/>
    <w:rsid w:val="070F6488"/>
    <w:rsid w:val="072E0AA7"/>
    <w:rsid w:val="07493DE4"/>
    <w:rsid w:val="076646E5"/>
    <w:rsid w:val="07944DAE"/>
    <w:rsid w:val="07AF1BE8"/>
    <w:rsid w:val="07DA39BA"/>
    <w:rsid w:val="07FD6DF7"/>
    <w:rsid w:val="08325EFF"/>
    <w:rsid w:val="089B644D"/>
    <w:rsid w:val="08AA6372"/>
    <w:rsid w:val="0957140D"/>
    <w:rsid w:val="097430E9"/>
    <w:rsid w:val="09813405"/>
    <w:rsid w:val="098466E2"/>
    <w:rsid w:val="099A2423"/>
    <w:rsid w:val="09C63CB7"/>
    <w:rsid w:val="0A1A2AD5"/>
    <w:rsid w:val="0A3B59B5"/>
    <w:rsid w:val="0A522CFE"/>
    <w:rsid w:val="0A603A28"/>
    <w:rsid w:val="0A7E3AF3"/>
    <w:rsid w:val="0AD16319"/>
    <w:rsid w:val="0B2E6C33"/>
    <w:rsid w:val="0B471443"/>
    <w:rsid w:val="0B582596"/>
    <w:rsid w:val="0B776EC0"/>
    <w:rsid w:val="0BAF327A"/>
    <w:rsid w:val="0BD22464"/>
    <w:rsid w:val="0C0F6191"/>
    <w:rsid w:val="0C210BDA"/>
    <w:rsid w:val="0C22507E"/>
    <w:rsid w:val="0C234952"/>
    <w:rsid w:val="0C97247A"/>
    <w:rsid w:val="0CE40340"/>
    <w:rsid w:val="0D1D3A97"/>
    <w:rsid w:val="0D7F0935"/>
    <w:rsid w:val="0D86163D"/>
    <w:rsid w:val="0D906017"/>
    <w:rsid w:val="0DB3098E"/>
    <w:rsid w:val="0DC46BAD"/>
    <w:rsid w:val="0E4868F2"/>
    <w:rsid w:val="0EC56195"/>
    <w:rsid w:val="0ED334BB"/>
    <w:rsid w:val="0EED77D1"/>
    <w:rsid w:val="0EFE5F92"/>
    <w:rsid w:val="0F2509E1"/>
    <w:rsid w:val="0F77472F"/>
    <w:rsid w:val="0FA364D6"/>
    <w:rsid w:val="0FFC5BE6"/>
    <w:rsid w:val="10374E70"/>
    <w:rsid w:val="1042584C"/>
    <w:rsid w:val="10C76C75"/>
    <w:rsid w:val="10EC7A09"/>
    <w:rsid w:val="118C7F17"/>
    <w:rsid w:val="11A83289"/>
    <w:rsid w:val="11BA18B5"/>
    <w:rsid w:val="11C6025A"/>
    <w:rsid w:val="12AB25F0"/>
    <w:rsid w:val="12C66037"/>
    <w:rsid w:val="12D71EE1"/>
    <w:rsid w:val="13024677"/>
    <w:rsid w:val="132316DC"/>
    <w:rsid w:val="13257202"/>
    <w:rsid w:val="137A24B0"/>
    <w:rsid w:val="13B50586"/>
    <w:rsid w:val="146A26EA"/>
    <w:rsid w:val="14972381"/>
    <w:rsid w:val="14DB226E"/>
    <w:rsid w:val="151F6C82"/>
    <w:rsid w:val="15F1786F"/>
    <w:rsid w:val="161C45A6"/>
    <w:rsid w:val="163E20B5"/>
    <w:rsid w:val="167909DF"/>
    <w:rsid w:val="16790A4B"/>
    <w:rsid w:val="16A62BCA"/>
    <w:rsid w:val="16B57185"/>
    <w:rsid w:val="16D72F09"/>
    <w:rsid w:val="16D73651"/>
    <w:rsid w:val="17201A96"/>
    <w:rsid w:val="175943AB"/>
    <w:rsid w:val="177B5642"/>
    <w:rsid w:val="183121A5"/>
    <w:rsid w:val="183D4FEE"/>
    <w:rsid w:val="187973A6"/>
    <w:rsid w:val="189E6FE8"/>
    <w:rsid w:val="18D62220"/>
    <w:rsid w:val="190A1374"/>
    <w:rsid w:val="1911314F"/>
    <w:rsid w:val="192341E3"/>
    <w:rsid w:val="19264D41"/>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403C19"/>
    <w:rsid w:val="1D6221E6"/>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F4DDA"/>
    <w:rsid w:val="1F240CB5"/>
    <w:rsid w:val="1F647304"/>
    <w:rsid w:val="1FF163B0"/>
    <w:rsid w:val="206D0602"/>
    <w:rsid w:val="20757BCC"/>
    <w:rsid w:val="208D0D40"/>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515867"/>
    <w:rsid w:val="28F31C90"/>
    <w:rsid w:val="291678C1"/>
    <w:rsid w:val="29415831"/>
    <w:rsid w:val="295B01BA"/>
    <w:rsid w:val="29804E7F"/>
    <w:rsid w:val="298F1421"/>
    <w:rsid w:val="299A22A0"/>
    <w:rsid w:val="299B130F"/>
    <w:rsid w:val="29A22F02"/>
    <w:rsid w:val="29D357B2"/>
    <w:rsid w:val="29F545C8"/>
    <w:rsid w:val="2A3B60E3"/>
    <w:rsid w:val="2A6B66A5"/>
    <w:rsid w:val="2A8962DA"/>
    <w:rsid w:val="2A9E289C"/>
    <w:rsid w:val="2AD4533E"/>
    <w:rsid w:val="2B4167E6"/>
    <w:rsid w:val="2B5E72FD"/>
    <w:rsid w:val="2B6A1B7F"/>
    <w:rsid w:val="2B7D1E25"/>
    <w:rsid w:val="2B82123D"/>
    <w:rsid w:val="2BE124D6"/>
    <w:rsid w:val="2C245EB1"/>
    <w:rsid w:val="2C2D2A07"/>
    <w:rsid w:val="2C532DA0"/>
    <w:rsid w:val="2C57797E"/>
    <w:rsid w:val="2CA86A82"/>
    <w:rsid w:val="2CB371D5"/>
    <w:rsid w:val="2CBC42DB"/>
    <w:rsid w:val="2D0D5D1F"/>
    <w:rsid w:val="2D12214D"/>
    <w:rsid w:val="2D5E2035"/>
    <w:rsid w:val="2D864873"/>
    <w:rsid w:val="2DA96B06"/>
    <w:rsid w:val="2E051E23"/>
    <w:rsid w:val="2ED008F1"/>
    <w:rsid w:val="2EE1627B"/>
    <w:rsid w:val="2F195A15"/>
    <w:rsid w:val="2F221578"/>
    <w:rsid w:val="2F3276C7"/>
    <w:rsid w:val="2F656EAC"/>
    <w:rsid w:val="2F875DDB"/>
    <w:rsid w:val="30007685"/>
    <w:rsid w:val="300F4902"/>
    <w:rsid w:val="303A64D0"/>
    <w:rsid w:val="303B4255"/>
    <w:rsid w:val="30427C69"/>
    <w:rsid w:val="30A0509E"/>
    <w:rsid w:val="30D065A7"/>
    <w:rsid w:val="311B06F3"/>
    <w:rsid w:val="31480833"/>
    <w:rsid w:val="317909ED"/>
    <w:rsid w:val="31D10739"/>
    <w:rsid w:val="31E5110E"/>
    <w:rsid w:val="31FA476A"/>
    <w:rsid w:val="32101599"/>
    <w:rsid w:val="3240775C"/>
    <w:rsid w:val="3255165D"/>
    <w:rsid w:val="32827D75"/>
    <w:rsid w:val="32C510AF"/>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C66E2C"/>
    <w:rsid w:val="35E11256"/>
    <w:rsid w:val="35E83F05"/>
    <w:rsid w:val="35FF348B"/>
    <w:rsid w:val="36015455"/>
    <w:rsid w:val="363E00C4"/>
    <w:rsid w:val="368816D2"/>
    <w:rsid w:val="369B31B3"/>
    <w:rsid w:val="36C95F72"/>
    <w:rsid w:val="371F5B92"/>
    <w:rsid w:val="375717D0"/>
    <w:rsid w:val="37692CB0"/>
    <w:rsid w:val="37773C20"/>
    <w:rsid w:val="377E2B92"/>
    <w:rsid w:val="37F44BF3"/>
    <w:rsid w:val="38FD49CD"/>
    <w:rsid w:val="39363AEB"/>
    <w:rsid w:val="397330FD"/>
    <w:rsid w:val="39827A59"/>
    <w:rsid w:val="39932267"/>
    <w:rsid w:val="399D4784"/>
    <w:rsid w:val="399F2FBB"/>
    <w:rsid w:val="39B20F40"/>
    <w:rsid w:val="39ED7FCB"/>
    <w:rsid w:val="39F647B9"/>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7E3E84"/>
    <w:rsid w:val="3C965237"/>
    <w:rsid w:val="3CFB44C3"/>
    <w:rsid w:val="3D01676D"/>
    <w:rsid w:val="3D121CF5"/>
    <w:rsid w:val="3D2A5291"/>
    <w:rsid w:val="3D6A7D83"/>
    <w:rsid w:val="3D8449A1"/>
    <w:rsid w:val="3D8A2CB0"/>
    <w:rsid w:val="3D8F7591"/>
    <w:rsid w:val="3E272EE8"/>
    <w:rsid w:val="3E344619"/>
    <w:rsid w:val="3E534E03"/>
    <w:rsid w:val="3E864749"/>
    <w:rsid w:val="3E917C19"/>
    <w:rsid w:val="3EBE2135"/>
    <w:rsid w:val="3ED656D0"/>
    <w:rsid w:val="3F12422F"/>
    <w:rsid w:val="3F1F4BA2"/>
    <w:rsid w:val="3F383632"/>
    <w:rsid w:val="3F44662B"/>
    <w:rsid w:val="3F453306"/>
    <w:rsid w:val="3F740A45"/>
    <w:rsid w:val="3FAF58B0"/>
    <w:rsid w:val="3FFF47B3"/>
    <w:rsid w:val="400E7546"/>
    <w:rsid w:val="40183119"/>
    <w:rsid w:val="4052477A"/>
    <w:rsid w:val="4052753A"/>
    <w:rsid w:val="40B30B18"/>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5F022D"/>
    <w:rsid w:val="47704B50"/>
    <w:rsid w:val="47C6205A"/>
    <w:rsid w:val="48967C7F"/>
    <w:rsid w:val="48BC3499"/>
    <w:rsid w:val="493F20C4"/>
    <w:rsid w:val="49A3337A"/>
    <w:rsid w:val="49BE0F52"/>
    <w:rsid w:val="49D62A28"/>
    <w:rsid w:val="4A0A0193"/>
    <w:rsid w:val="4A3D4856"/>
    <w:rsid w:val="4A875AD1"/>
    <w:rsid w:val="4A9D48C2"/>
    <w:rsid w:val="4ABB15CA"/>
    <w:rsid w:val="4B0E1D4E"/>
    <w:rsid w:val="4BCC5D64"/>
    <w:rsid w:val="4BD03803"/>
    <w:rsid w:val="4BD50ABE"/>
    <w:rsid w:val="4BE40D01"/>
    <w:rsid w:val="4C1E7FBA"/>
    <w:rsid w:val="4C363892"/>
    <w:rsid w:val="4C4023DB"/>
    <w:rsid w:val="4C632900"/>
    <w:rsid w:val="4C787DC7"/>
    <w:rsid w:val="4CA30BBC"/>
    <w:rsid w:val="4CB041A4"/>
    <w:rsid w:val="4D106251"/>
    <w:rsid w:val="4D1D271C"/>
    <w:rsid w:val="4D3073ED"/>
    <w:rsid w:val="4D824567"/>
    <w:rsid w:val="4DA22C22"/>
    <w:rsid w:val="4DC25072"/>
    <w:rsid w:val="4DDA284D"/>
    <w:rsid w:val="4E600F7F"/>
    <w:rsid w:val="4E946A0E"/>
    <w:rsid w:val="4ECB579F"/>
    <w:rsid w:val="4ED32A15"/>
    <w:rsid w:val="4EFE20DA"/>
    <w:rsid w:val="4F136BAF"/>
    <w:rsid w:val="4F5C39D0"/>
    <w:rsid w:val="4F786330"/>
    <w:rsid w:val="4FA9337C"/>
    <w:rsid w:val="501F67AB"/>
    <w:rsid w:val="507D1E47"/>
    <w:rsid w:val="50852AB2"/>
    <w:rsid w:val="50B9275C"/>
    <w:rsid w:val="50D47596"/>
    <w:rsid w:val="50F15594"/>
    <w:rsid w:val="51000915"/>
    <w:rsid w:val="51025EB1"/>
    <w:rsid w:val="51841882"/>
    <w:rsid w:val="51A451BA"/>
    <w:rsid w:val="51A93D45"/>
    <w:rsid w:val="51D860AE"/>
    <w:rsid w:val="52313BAC"/>
    <w:rsid w:val="5245699D"/>
    <w:rsid w:val="527A416D"/>
    <w:rsid w:val="52B15DE1"/>
    <w:rsid w:val="52C00AB5"/>
    <w:rsid w:val="52CD6993"/>
    <w:rsid w:val="52D32C59"/>
    <w:rsid w:val="52D33227"/>
    <w:rsid w:val="52D7336D"/>
    <w:rsid w:val="52ED493F"/>
    <w:rsid w:val="53516268"/>
    <w:rsid w:val="53BA6F17"/>
    <w:rsid w:val="53C94501"/>
    <w:rsid w:val="54942314"/>
    <w:rsid w:val="54A315F0"/>
    <w:rsid w:val="551F080C"/>
    <w:rsid w:val="557D01FC"/>
    <w:rsid w:val="558649E9"/>
    <w:rsid w:val="559B757A"/>
    <w:rsid w:val="55B21658"/>
    <w:rsid w:val="560222CE"/>
    <w:rsid w:val="560A3E85"/>
    <w:rsid w:val="561E35DE"/>
    <w:rsid w:val="56423283"/>
    <w:rsid w:val="56C47F55"/>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A113609"/>
    <w:rsid w:val="5A124512"/>
    <w:rsid w:val="5A3D61AC"/>
    <w:rsid w:val="5AD61C4C"/>
    <w:rsid w:val="5B063489"/>
    <w:rsid w:val="5B196FF7"/>
    <w:rsid w:val="5B2630E4"/>
    <w:rsid w:val="5B7A6F8C"/>
    <w:rsid w:val="5B852845"/>
    <w:rsid w:val="5B8D3163"/>
    <w:rsid w:val="5BCB45A3"/>
    <w:rsid w:val="5BF226BA"/>
    <w:rsid w:val="5C084598"/>
    <w:rsid w:val="5C2A6C04"/>
    <w:rsid w:val="5C2D0A9F"/>
    <w:rsid w:val="5C78171D"/>
    <w:rsid w:val="5C986C68"/>
    <w:rsid w:val="5CCB4C52"/>
    <w:rsid w:val="5CD235A2"/>
    <w:rsid w:val="5D1256CE"/>
    <w:rsid w:val="5D4B1A97"/>
    <w:rsid w:val="5EB629D1"/>
    <w:rsid w:val="5ED43404"/>
    <w:rsid w:val="5F28567D"/>
    <w:rsid w:val="5F5A15AE"/>
    <w:rsid w:val="5F7563E8"/>
    <w:rsid w:val="6025390F"/>
    <w:rsid w:val="602A730A"/>
    <w:rsid w:val="604A0FC0"/>
    <w:rsid w:val="6062071A"/>
    <w:rsid w:val="609E54CA"/>
    <w:rsid w:val="60B60A66"/>
    <w:rsid w:val="60FF065F"/>
    <w:rsid w:val="614348BF"/>
    <w:rsid w:val="61876361"/>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BA0013"/>
    <w:rsid w:val="67C33BC0"/>
    <w:rsid w:val="67FA392E"/>
    <w:rsid w:val="6874548F"/>
    <w:rsid w:val="687F5F93"/>
    <w:rsid w:val="68B95597"/>
    <w:rsid w:val="68F41F57"/>
    <w:rsid w:val="69054339"/>
    <w:rsid w:val="6914022D"/>
    <w:rsid w:val="696C260A"/>
    <w:rsid w:val="699851AD"/>
    <w:rsid w:val="699B2EEF"/>
    <w:rsid w:val="699D6C67"/>
    <w:rsid w:val="69B84EDC"/>
    <w:rsid w:val="6A0339D1"/>
    <w:rsid w:val="6A2151A2"/>
    <w:rsid w:val="6ACC771E"/>
    <w:rsid w:val="6AE727FB"/>
    <w:rsid w:val="6B476A1E"/>
    <w:rsid w:val="6B4C44A1"/>
    <w:rsid w:val="6B755743"/>
    <w:rsid w:val="6BAA7419"/>
    <w:rsid w:val="6BE248E5"/>
    <w:rsid w:val="6BF34F60"/>
    <w:rsid w:val="6C021003"/>
    <w:rsid w:val="6C0F6ECA"/>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97E5C"/>
    <w:rsid w:val="6ECC5FE7"/>
    <w:rsid w:val="6EDB6140"/>
    <w:rsid w:val="6F9E1043"/>
    <w:rsid w:val="6FB14B95"/>
    <w:rsid w:val="6FBB39A3"/>
    <w:rsid w:val="6FD42CB7"/>
    <w:rsid w:val="70077DE7"/>
    <w:rsid w:val="7029485D"/>
    <w:rsid w:val="70B56644"/>
    <w:rsid w:val="710366B1"/>
    <w:rsid w:val="711A6363"/>
    <w:rsid w:val="71BB0DD8"/>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8B0767"/>
    <w:rsid w:val="75B275F6"/>
    <w:rsid w:val="75E76FA0"/>
    <w:rsid w:val="761422CC"/>
    <w:rsid w:val="76224CCF"/>
    <w:rsid w:val="762F6E99"/>
    <w:rsid w:val="76530DD9"/>
    <w:rsid w:val="770B16B4"/>
    <w:rsid w:val="770E4B54"/>
    <w:rsid w:val="772E7150"/>
    <w:rsid w:val="77A15B74"/>
    <w:rsid w:val="77A86F03"/>
    <w:rsid w:val="77F0668A"/>
    <w:rsid w:val="785045C8"/>
    <w:rsid w:val="789456D9"/>
    <w:rsid w:val="79020895"/>
    <w:rsid w:val="79110AD8"/>
    <w:rsid w:val="791A1FD1"/>
    <w:rsid w:val="791A5BDE"/>
    <w:rsid w:val="79294073"/>
    <w:rsid w:val="79AE6381"/>
    <w:rsid w:val="7AA535EF"/>
    <w:rsid w:val="7B2B0079"/>
    <w:rsid w:val="7B4C4049"/>
    <w:rsid w:val="7B4C6C5F"/>
    <w:rsid w:val="7B590514"/>
    <w:rsid w:val="7B5F2B22"/>
    <w:rsid w:val="7B833D31"/>
    <w:rsid w:val="7BAC2D3A"/>
    <w:rsid w:val="7BC71BE8"/>
    <w:rsid w:val="7BC87710"/>
    <w:rsid w:val="7BCE6D01"/>
    <w:rsid w:val="7BCE7F00"/>
    <w:rsid w:val="7BEE3352"/>
    <w:rsid w:val="7C0E12FE"/>
    <w:rsid w:val="7C213CD7"/>
    <w:rsid w:val="7C2F624D"/>
    <w:rsid w:val="7C6A15B3"/>
    <w:rsid w:val="7CFA01CB"/>
    <w:rsid w:val="7D2E5D91"/>
    <w:rsid w:val="7DA55C93"/>
    <w:rsid w:val="7DCD5C31"/>
    <w:rsid w:val="7E4D2CFE"/>
    <w:rsid w:val="7E741677"/>
    <w:rsid w:val="7E8D404B"/>
    <w:rsid w:val="7F46479C"/>
    <w:rsid w:val="7F6364A4"/>
    <w:rsid w:val="7FA75CF2"/>
    <w:rsid w:val="7FB7473A"/>
    <w:rsid w:val="7FBF657E"/>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7071</Words>
  <Characters>8885</Characters>
  <Lines>47</Lines>
  <Paragraphs>13</Paragraphs>
  <TotalTime>7</TotalTime>
  <ScaleCrop>false</ScaleCrop>
  <LinksUpToDate>false</LinksUpToDate>
  <CharactersWithSpaces>8979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一米阳光</cp:lastModifiedBy>
  <cp:lastPrinted>2026-03-03T01:00:00Z</cp:lastPrinted>
  <dcterms:modified xsi:type="dcterms:W3CDTF">2026-03-03T01:33:11Z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C57FF6002C0A44969E6AA010D8A4E915_13</vt:lpwstr>
  </property>
  <property fmtid="{D5CDD505-2E9C-101B-9397-08002B2CF9AE}" pid="3" name="KSOProductBuildVer">
    <vt:lpwstr>2052-12.1.0.25225</vt:lpwstr>
  </property>
  <property fmtid="{D5CDD505-2E9C-101B-9397-08002B2CF9AE}" pid="4" name="KSOTemplateDocerSaveRecord">
    <vt:lpwstr>eyJoZGlkIjoiNjY0ZDU4ZWM0NDM0YzllM2IxYjc2MDFhOTViNzRjNjIiLCJ1c2VySWQiOiIzNTIwNjMzNDUifQ==</vt:lpwstr>
  </property>
</Properties>
</file>